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C56" w:rsidRDefault="00296BC3">
      <w:r w:rsidRPr="00296BC3">
        <w:drawing>
          <wp:inline distT="0" distB="0" distL="0" distR="0">
            <wp:extent cx="9385300" cy="7112000"/>
            <wp:effectExtent l="19050" t="0" r="635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506900" cy="24339186"/>
                      <a:chOff x="-8709997" y="-3499945"/>
                      <a:chExt cx="52506900" cy="24339186"/>
                    </a:xfrm>
                  </a:grpSpPr>
                  <a:sp>
                    <a:nvSpPr>
                      <a:cNvPr id="3" name="Text Placeholder 2"/>
                      <a:cNvSpPr>
                        <a:spLocks noGrp="1"/>
                      </a:cNvSpPr>
                    </a:nvSpPr>
                    <a:spPr>
                      <a:xfrm>
                        <a:off x="474664" y="8437232"/>
                        <a:ext cx="8290965" cy="861774"/>
                      </a:xfrm>
                      <a:prstGeom prst="rect">
                        <a:avLst/>
                      </a:prstGeom>
                    </a:spPr>
                    <a:txSp>
                      <a:txBody>
                        <a:bodyPr wrap="square" lIns="91440" tIns="91440" rIns="91440" bIns="91440">
                          <a:spAutoFit/>
                        </a:bodyPr>
                        <a:lstStyle>
                          <a:lvl1pPr marL="0" indent="0" algn="l" defTabSz="3761915" rtl="0" eaLnBrk="1" latinLnBrk="0" hangingPunct="1">
                            <a:spcBef>
                              <a:spcPct val="20000"/>
                            </a:spcBef>
                            <a:buFont typeface="Arial" pitchFamily="34" charset="0"/>
                            <a:buNone/>
                            <a:defRPr sz="2000" kern="1200">
                              <a:solidFill>
                                <a:schemeClr val="tx1"/>
                              </a:solidFill>
                              <a:latin typeface="Trebuchet MS" pitchFamily="34" charset="0"/>
                              <a:ea typeface="+mn-ea"/>
                              <a:cs typeface="+mn-cs"/>
                            </a:defRPr>
                          </a:lvl1pPr>
                          <a:lvl2pPr marL="1273565"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2pPr>
                          <a:lvl3pPr marL="1763397"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3pPr>
                          <a:lvl4pPr marL="2302214" indent="-538817"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4pPr>
                          <a:lvl5pPr marL="2694080" indent="-391866"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dirty="0" smtClean="0"/>
                        </a:p>
                        <a:p>
                          <a:r>
                            <a:rPr lang="en-US" dirty="0" smtClean="0"/>
                            <a:t> </a:t>
                          </a:r>
                          <a:endParaRPr lang="en-US" dirty="0"/>
                        </a:p>
                      </a:txBody>
                      <a:useSpRect/>
                    </a:txSp>
                  </a:sp>
                  <a:sp>
                    <a:nvSpPr>
                      <a:cNvPr id="4" name="Text Placeholder 3"/>
                      <a:cNvSpPr>
                        <a:spLocks noGrp="1"/>
                      </a:cNvSpPr>
                    </a:nvSpPr>
                    <a:spPr>
                      <a:xfrm>
                        <a:off x="474664" y="146111"/>
                        <a:ext cx="8290965" cy="712277"/>
                      </a:xfrm>
                      <a:prstGeom prst="rect">
                        <a:avLst/>
                      </a:prstGeom>
                      <a:solidFill>
                        <a:schemeClr val="accent5">
                          <a:lumMod val="50000"/>
                        </a:schemeClr>
                      </a:solidFill>
                    </a:spPr>
                    <a:txSp>
                      <a:txBody>
                        <a:bodyPr wrap="square" lIns="78374" tIns="78374" rIns="78374" bIns="78374" anchor="ctr" anchorCtr="0">
                          <a:spAutoFit/>
                        </a:bodyPr>
                        <a:lstStyle>
                          <a:lvl1pPr marL="1410719" indent="-1410719" algn="ctr" defTabSz="3761915" rtl="0" eaLnBrk="1" latinLnBrk="0" hangingPunct="1">
                            <a:spcBef>
                              <a:spcPct val="20000"/>
                            </a:spcBef>
                            <a:buFont typeface="Arial" pitchFamily="34" charset="0"/>
                            <a:buNone/>
                            <a:defRPr sz="2800" b="1" kern="1200" baseline="0">
                              <a:solidFill>
                                <a:schemeClr val="bg1"/>
                              </a:solidFill>
                              <a:latin typeface="+mn-lt"/>
                              <a:ea typeface="+mn-ea"/>
                              <a:cs typeface="+mn-cs"/>
                            </a:defRPr>
                          </a:lvl1pPr>
                          <a:lvl2pPr marL="3056556" indent="-1175598" algn="l" defTabSz="3761915" rtl="0" eaLnBrk="1" latinLnBrk="0" hangingPunct="1">
                            <a:spcBef>
                              <a:spcPct val="20000"/>
                            </a:spcBef>
                            <a:buFont typeface="Arial" pitchFamily="34" charset="0"/>
                            <a:buChar char="–"/>
                            <a:defRPr sz="11600" kern="1200">
                              <a:solidFill>
                                <a:schemeClr val="tx1"/>
                              </a:solidFill>
                              <a:latin typeface="+mn-lt"/>
                              <a:ea typeface="+mn-ea"/>
                              <a:cs typeface="+mn-cs"/>
                            </a:defRPr>
                          </a:lvl2pPr>
                          <a:lvl3pPr marL="4702394" indent="-940479" algn="l" defTabSz="3761915" rtl="0" eaLnBrk="1" latinLnBrk="0" hangingPunct="1">
                            <a:spcBef>
                              <a:spcPct val="20000"/>
                            </a:spcBef>
                            <a:buFont typeface="Arial" pitchFamily="34" charset="0"/>
                            <a:buChar char="•"/>
                            <a:defRPr sz="9900" kern="1200">
                              <a:solidFill>
                                <a:schemeClr val="tx1"/>
                              </a:solidFill>
                              <a:latin typeface="+mn-lt"/>
                              <a:ea typeface="+mn-ea"/>
                              <a:cs typeface="+mn-cs"/>
                            </a:defRPr>
                          </a:lvl3pPr>
                          <a:lvl4pPr marL="6583352"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4pPr>
                          <a:lvl5pPr marL="8464308"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r>
                            <a:rPr lang="en-US" sz="3600" dirty="0" smtClean="0"/>
                            <a:t>Introduction</a:t>
                          </a:r>
                          <a:endParaRPr lang="en-US" sz="3600" dirty="0"/>
                        </a:p>
                      </a:txBody>
                      <a:useSpRect/>
                    </a:txSp>
                  </a:sp>
                  <a:sp>
                    <a:nvSpPr>
                      <a:cNvPr id="7" name="Text Placeholder 6"/>
                      <a:cNvSpPr>
                        <a:spLocks noGrp="1"/>
                      </a:cNvSpPr>
                    </a:nvSpPr>
                    <a:spPr>
                      <a:xfrm>
                        <a:off x="12050110" y="-3499945"/>
                        <a:ext cx="19467785" cy="2364828"/>
                      </a:xfrm>
                      <a:prstGeom prst="rect">
                        <a:avLst/>
                      </a:prstGeom>
                      <a:solidFill>
                        <a:schemeClr val="bg1"/>
                      </a:solidFill>
                    </a:spPr>
                    <a:txSp>
                      <a:txBody>
                        <a:bodyPr lIns="78374" tIns="39186" rIns="78374" bIns="39186" anchor="ctr" anchorCtr="0"/>
                        <a:lstStyle>
                          <a:lvl1pPr marL="1410719" indent="-1410719" algn="ctr" defTabSz="3761915" rtl="0" eaLnBrk="1" latinLnBrk="0" hangingPunct="1">
                            <a:spcBef>
                              <a:spcPct val="20000"/>
                            </a:spcBef>
                            <a:buFont typeface="Arial" pitchFamily="34" charset="0"/>
                            <a:buNone/>
                            <a:defRPr sz="3200" kern="1200" baseline="0">
                              <a:solidFill>
                                <a:schemeClr val="bg1"/>
                              </a:solidFill>
                              <a:latin typeface="+mn-lt"/>
                              <a:ea typeface="+mn-ea"/>
                              <a:cs typeface="+mn-cs"/>
                            </a:defRPr>
                          </a:lvl1pPr>
                          <a:lvl2pPr marL="3056556" indent="-1175598" algn="l" defTabSz="3761915" rtl="0" eaLnBrk="1" latinLnBrk="0" hangingPunct="1">
                            <a:spcBef>
                              <a:spcPct val="20000"/>
                            </a:spcBef>
                            <a:buFont typeface="Arial" pitchFamily="34" charset="0"/>
                            <a:buChar char="–"/>
                            <a:defRPr sz="11600" kern="1200">
                              <a:solidFill>
                                <a:schemeClr val="bg1"/>
                              </a:solidFill>
                              <a:latin typeface="+mn-lt"/>
                              <a:ea typeface="+mn-ea"/>
                              <a:cs typeface="+mn-cs"/>
                            </a:defRPr>
                          </a:lvl2pPr>
                          <a:lvl3pPr marL="4702394" indent="-940479" algn="l" defTabSz="3761915" rtl="0" eaLnBrk="1" latinLnBrk="0" hangingPunct="1">
                            <a:spcBef>
                              <a:spcPct val="20000"/>
                            </a:spcBef>
                            <a:buFont typeface="Arial" pitchFamily="34" charset="0"/>
                            <a:buChar char="•"/>
                            <a:defRPr sz="9900" kern="1200">
                              <a:solidFill>
                                <a:schemeClr val="bg1"/>
                              </a:solidFill>
                              <a:latin typeface="+mn-lt"/>
                              <a:ea typeface="+mn-ea"/>
                              <a:cs typeface="+mn-cs"/>
                            </a:defRPr>
                          </a:lvl3pPr>
                          <a:lvl4pPr marL="6583352" indent="-940479" algn="l" defTabSz="3761915" rtl="0" eaLnBrk="1" latinLnBrk="0" hangingPunct="1">
                            <a:spcBef>
                              <a:spcPct val="20000"/>
                            </a:spcBef>
                            <a:buFont typeface="Arial" pitchFamily="34" charset="0"/>
                            <a:buChar char="–"/>
                            <a:defRPr sz="8300" kern="1200">
                              <a:solidFill>
                                <a:schemeClr val="bg1"/>
                              </a:solidFill>
                              <a:latin typeface="+mn-lt"/>
                              <a:ea typeface="+mn-ea"/>
                              <a:cs typeface="+mn-cs"/>
                            </a:defRPr>
                          </a:lvl4pPr>
                          <a:lvl5pPr marL="8464308" indent="-940479" algn="l" defTabSz="3761915" rtl="0" eaLnBrk="1" latinLnBrk="0" hangingPunct="1">
                            <a:spcBef>
                              <a:spcPct val="20000"/>
                            </a:spcBef>
                            <a:buFont typeface="Arial" pitchFamily="34" charset="0"/>
                            <a:buChar char="»"/>
                            <a:defRPr sz="8300" kern="1200">
                              <a:solidFill>
                                <a:schemeClr val="bg1"/>
                              </a:solidFill>
                              <a:latin typeface="+mn-lt"/>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r>
                            <a:rPr lang="en-US" sz="6000" b="1" dirty="0" smtClean="0">
                              <a:solidFill>
                                <a:schemeClr val="bg2">
                                  <a:lumMod val="25000"/>
                                </a:schemeClr>
                              </a:solidFill>
                              <a:latin typeface="Trebuchet MS" pitchFamily="34" charset="0"/>
                            </a:rPr>
                            <a:t>Care Coordination Challenges in the “Last Frontier”</a:t>
                          </a:r>
                        </a:p>
                        <a:p>
                          <a:r>
                            <a:rPr lang="en-US" sz="4400" b="1" dirty="0" smtClean="0">
                              <a:solidFill>
                                <a:schemeClr val="bg2">
                                  <a:lumMod val="25000"/>
                                </a:schemeClr>
                              </a:solidFill>
                              <a:latin typeface="Trebuchet MS" pitchFamily="34" charset="0"/>
                            </a:rPr>
                            <a:t>Patrick M Cunningham, MSW, DSW</a:t>
                          </a:r>
                        </a:p>
                        <a:p>
                          <a:r>
                            <a:rPr lang="en-US" sz="4400" b="1" dirty="0" smtClean="0">
                              <a:solidFill>
                                <a:schemeClr val="bg2">
                                  <a:lumMod val="25000"/>
                                </a:schemeClr>
                              </a:solidFill>
                              <a:latin typeface="Trebuchet MS" pitchFamily="34" charset="0"/>
                            </a:rPr>
                            <a:t>University of Alaska School of Social Work, USA</a:t>
                          </a:r>
                          <a:endParaRPr lang="en-US" sz="4400" b="1" dirty="0">
                            <a:solidFill>
                              <a:schemeClr val="bg2">
                                <a:lumMod val="25000"/>
                              </a:schemeClr>
                            </a:solidFill>
                            <a:latin typeface="Trebuchet MS" pitchFamily="34" charset="0"/>
                          </a:endParaRPr>
                        </a:p>
                      </a:txBody>
                      <a:useSpRect/>
                    </a:txSp>
                  </a:sp>
                  <a:pic>
                    <a:nvPicPr>
                      <a:cNvPr id="173" name="Picture Placeholder 172" descr="New Picture (1).png"/>
                      <a:cNvPicPr>
                        <a:picLocks noGrp="1" noChangeAspect="1"/>
                      </a:cNvPicPr>
                    </a:nvPicPr>
                    <a:blipFill>
                      <a:blip r:embed="rId4" cstate="print"/>
                      <a:srcRect t="6747" b="6747"/>
                      <a:stretch>
                        <a:fillRect/>
                      </a:stretch>
                    </a:blipFill>
                    <a:spPr>
                      <a:xfrm>
                        <a:off x="36129707" y="-3499944"/>
                        <a:ext cx="5793302" cy="2936326"/>
                      </a:xfrm>
                      <a:prstGeom prst="rect">
                        <a:avLst/>
                      </a:prstGeom>
                    </a:spPr>
                  </a:pic>
                  <a:sp>
                    <a:nvSpPr>
                      <a:cNvPr id="9" name="Text Placeholder 8"/>
                      <a:cNvSpPr>
                        <a:spLocks noGrp="1"/>
                      </a:cNvSpPr>
                    </a:nvSpPr>
                    <a:spPr>
                      <a:xfrm>
                        <a:off x="9151939" y="146111"/>
                        <a:ext cx="8269287" cy="712277"/>
                      </a:xfrm>
                      <a:prstGeom prst="rect">
                        <a:avLst/>
                      </a:prstGeom>
                      <a:solidFill>
                        <a:schemeClr val="accent5">
                          <a:lumMod val="50000"/>
                        </a:schemeClr>
                      </a:solidFill>
                    </a:spPr>
                    <a:txSp>
                      <a:txBody>
                        <a:bodyPr wrap="square" lIns="78374" tIns="78374" rIns="78374" bIns="78374" anchor="ctr" anchorCtr="0">
                          <a:spAutoFit/>
                        </a:bodyPr>
                        <a:lstStyle>
                          <a:lvl1pPr marL="1410719" indent="-1410719" algn="ctr" defTabSz="3761915" rtl="0" eaLnBrk="1" latinLnBrk="0" hangingPunct="1">
                            <a:spcBef>
                              <a:spcPct val="20000"/>
                            </a:spcBef>
                            <a:buFont typeface="Arial" pitchFamily="34" charset="0"/>
                            <a:buNone/>
                            <a:defRPr sz="2800" b="1" kern="1200" baseline="0">
                              <a:solidFill>
                                <a:schemeClr val="bg1"/>
                              </a:solidFill>
                              <a:latin typeface="+mn-lt"/>
                              <a:ea typeface="+mn-ea"/>
                              <a:cs typeface="+mn-cs"/>
                            </a:defRPr>
                          </a:lvl1pPr>
                          <a:lvl2pPr marL="3056556" indent="-1175598" algn="l" defTabSz="3761915" rtl="0" eaLnBrk="1" latinLnBrk="0" hangingPunct="1">
                            <a:spcBef>
                              <a:spcPct val="20000"/>
                            </a:spcBef>
                            <a:buFont typeface="Arial" pitchFamily="34" charset="0"/>
                            <a:buChar char="–"/>
                            <a:defRPr sz="11600" kern="1200">
                              <a:solidFill>
                                <a:schemeClr val="tx1"/>
                              </a:solidFill>
                              <a:latin typeface="+mn-lt"/>
                              <a:ea typeface="+mn-ea"/>
                              <a:cs typeface="+mn-cs"/>
                            </a:defRPr>
                          </a:lvl2pPr>
                          <a:lvl3pPr marL="4702394" indent="-940479" algn="l" defTabSz="3761915" rtl="0" eaLnBrk="1" latinLnBrk="0" hangingPunct="1">
                            <a:spcBef>
                              <a:spcPct val="20000"/>
                            </a:spcBef>
                            <a:buFont typeface="Arial" pitchFamily="34" charset="0"/>
                            <a:buChar char="•"/>
                            <a:defRPr sz="9900" kern="1200">
                              <a:solidFill>
                                <a:schemeClr val="tx1"/>
                              </a:solidFill>
                              <a:latin typeface="+mn-lt"/>
                              <a:ea typeface="+mn-ea"/>
                              <a:cs typeface="+mn-cs"/>
                            </a:defRPr>
                          </a:lvl3pPr>
                          <a:lvl4pPr marL="6583352"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4pPr>
                          <a:lvl5pPr marL="8464308"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r>
                            <a:rPr lang="en-US" sz="3600" dirty="0" smtClean="0"/>
                            <a:t>Care Coordination</a:t>
                          </a:r>
                          <a:endParaRPr lang="en-US" sz="3600" dirty="0"/>
                        </a:p>
                      </a:txBody>
                      <a:useSpRect/>
                    </a:txSp>
                  </a:sp>
                  <a:sp>
                    <a:nvSpPr>
                      <a:cNvPr id="10" name="Text Placeholder 9"/>
                      <a:cNvSpPr>
                        <a:spLocks noGrp="1"/>
                      </a:cNvSpPr>
                    </a:nvSpPr>
                    <a:spPr>
                      <a:xfrm>
                        <a:off x="0" y="858388"/>
                        <a:ext cx="8765629" cy="9257919"/>
                      </a:xfrm>
                      <a:prstGeom prst="rect">
                        <a:avLst/>
                      </a:prstGeom>
                      <a:solidFill>
                        <a:schemeClr val="bg2">
                          <a:lumMod val="25000"/>
                        </a:schemeClr>
                      </a:solidFill>
                    </a:spPr>
                    <a:txSp>
                      <a:txBody>
                        <a:bodyPr wrap="square" lIns="91440" tIns="91440" rIns="91440" bIns="91440">
                          <a:spAutoFit/>
                        </a:bodyPr>
                        <a:lstStyle>
                          <a:lvl1pPr marL="0" indent="0" algn="l" defTabSz="3761915" rtl="0" eaLnBrk="1" latinLnBrk="0" hangingPunct="1">
                            <a:spcBef>
                              <a:spcPct val="20000"/>
                            </a:spcBef>
                            <a:buFont typeface="Arial" pitchFamily="34" charset="0"/>
                            <a:buNone/>
                            <a:defRPr sz="2000" kern="1200">
                              <a:solidFill>
                                <a:schemeClr val="tx1"/>
                              </a:solidFill>
                              <a:latin typeface="Trebuchet MS" pitchFamily="34" charset="0"/>
                              <a:ea typeface="+mn-ea"/>
                              <a:cs typeface="+mn-cs"/>
                            </a:defRPr>
                          </a:lvl1pPr>
                          <a:lvl2pPr marL="1273565"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2pPr>
                          <a:lvl3pPr marL="1763397"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3pPr>
                          <a:lvl4pPr marL="2302214" indent="-538817"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4pPr>
                          <a:lvl5pPr marL="2694080" indent="-391866"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r>
                            <a:rPr lang="en-US" sz="2800" dirty="0" smtClean="0">
                              <a:solidFill>
                                <a:schemeClr val="bg1"/>
                              </a:solidFill>
                            </a:rPr>
                            <a:t>Alaska has over 300 communities. Approximately 25 percent of all Alaskans and 46 percent of Native Alaskans live in communities of less than 1,000 people. Despite its large land mass, Alaska ranks 47th among the 50 states in road miles. Nearly one-quarter of the state’s population lives in towns and villages that are reachable only by boat or aircraft. Approximately 75 percent of Alaskan communities are not connected by road to another community with a hospital. Air travel within Alaska is expensive, and many rural residents have little cash income. Severe weather often limits air travel, causing delays in obtaining care. The geography and climate of the state limit access to care, as well as increasing the costs of health care.</a:t>
                          </a:r>
                        </a:p>
                        <a:p>
                          <a:r>
                            <a:rPr lang="en-US" sz="2800" dirty="0" smtClean="0">
                              <a:solidFill>
                                <a:schemeClr val="bg1"/>
                              </a:solidFill>
                            </a:rPr>
                            <a:t>The rate of increase of Alzheimer’s disease in Alaska is expected to be one of the highest, as Alaska has the fastest-growing population of seniors in the U.S.</a:t>
                          </a:r>
                        </a:p>
                        <a:p>
                          <a:endParaRPr lang="en-US" dirty="0"/>
                        </a:p>
                      </a:txBody>
                      <a:useSpRect/>
                    </a:txSp>
                  </a:sp>
                  <a:sp>
                    <a:nvSpPr>
                      <a:cNvPr id="11" name="Text Placeholder 10"/>
                      <a:cNvSpPr>
                        <a:spLocks noGrp="1"/>
                      </a:cNvSpPr>
                    </a:nvSpPr>
                    <a:spPr>
                      <a:xfrm>
                        <a:off x="474664" y="9527141"/>
                        <a:ext cx="8290965" cy="589166"/>
                      </a:xfrm>
                      <a:prstGeom prst="rect">
                        <a:avLst/>
                      </a:prstGeom>
                      <a:solidFill>
                        <a:schemeClr val="accent5">
                          <a:lumMod val="50000"/>
                        </a:schemeClr>
                      </a:solidFill>
                    </a:spPr>
                    <a:txSp>
                      <a:txBody>
                        <a:bodyPr wrap="square" lIns="78374" tIns="78374" rIns="78374" bIns="78374" anchor="ctr" anchorCtr="0">
                          <a:spAutoFit/>
                        </a:bodyPr>
                        <a:lstStyle>
                          <a:lvl1pPr marL="1410719" indent="-1410719" algn="ctr" defTabSz="3761915" rtl="0" eaLnBrk="1" latinLnBrk="0" hangingPunct="1">
                            <a:spcBef>
                              <a:spcPct val="20000"/>
                            </a:spcBef>
                            <a:buFont typeface="Arial" pitchFamily="34" charset="0"/>
                            <a:buNone/>
                            <a:defRPr sz="2800" b="1" kern="1200" baseline="0">
                              <a:solidFill>
                                <a:schemeClr val="bg1"/>
                              </a:solidFill>
                              <a:latin typeface="+mn-lt"/>
                              <a:ea typeface="+mn-ea"/>
                              <a:cs typeface="+mn-cs"/>
                            </a:defRPr>
                          </a:lvl1pPr>
                          <a:lvl2pPr marL="3056556" indent="-1175598" algn="l" defTabSz="3761915" rtl="0" eaLnBrk="1" latinLnBrk="0" hangingPunct="1">
                            <a:spcBef>
                              <a:spcPct val="20000"/>
                            </a:spcBef>
                            <a:buFont typeface="Arial" pitchFamily="34" charset="0"/>
                            <a:buChar char="–"/>
                            <a:defRPr sz="11600" kern="1200">
                              <a:solidFill>
                                <a:schemeClr val="tx1"/>
                              </a:solidFill>
                              <a:latin typeface="+mn-lt"/>
                              <a:ea typeface="+mn-ea"/>
                              <a:cs typeface="+mn-cs"/>
                            </a:defRPr>
                          </a:lvl2pPr>
                          <a:lvl3pPr marL="4702394" indent="-940479" algn="l" defTabSz="3761915" rtl="0" eaLnBrk="1" latinLnBrk="0" hangingPunct="1">
                            <a:spcBef>
                              <a:spcPct val="20000"/>
                            </a:spcBef>
                            <a:buFont typeface="Arial" pitchFamily="34" charset="0"/>
                            <a:buChar char="•"/>
                            <a:defRPr sz="9900" kern="1200">
                              <a:solidFill>
                                <a:schemeClr val="tx1"/>
                              </a:solidFill>
                              <a:latin typeface="+mn-lt"/>
                              <a:ea typeface="+mn-ea"/>
                              <a:cs typeface="+mn-cs"/>
                            </a:defRPr>
                          </a:lvl3pPr>
                          <a:lvl4pPr marL="6583352"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4pPr>
                          <a:lvl5pPr marL="8464308"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dirty="0"/>
                        </a:p>
                      </a:txBody>
                      <a:useSpRect/>
                    </a:txSp>
                  </a:sp>
                  <a:sp>
                    <a:nvSpPr>
                      <a:cNvPr id="12" name="Text Placeholder 11"/>
                      <a:cNvSpPr>
                        <a:spLocks noGrp="1"/>
                      </a:cNvSpPr>
                    </a:nvSpPr>
                    <a:spPr>
                      <a:xfrm>
                        <a:off x="17804524" y="858388"/>
                        <a:ext cx="8274925" cy="19488412"/>
                      </a:xfrm>
                      <a:prstGeom prst="rect">
                        <a:avLst/>
                      </a:prstGeom>
                      <a:solidFill>
                        <a:schemeClr val="bg2">
                          <a:lumMod val="25000"/>
                        </a:schemeClr>
                      </a:solidFill>
                    </a:spPr>
                    <a:txSp>
                      <a:txBody>
                        <a:bodyPr wrap="square" lIns="91440" tIns="91440" rIns="91440" bIns="91440">
                          <a:spAutoFit/>
                        </a:bodyPr>
                        <a:lstStyle>
                          <a:lvl1pPr marL="0" indent="0" algn="l" defTabSz="3761915" rtl="0" eaLnBrk="1" latinLnBrk="0" hangingPunct="1">
                            <a:spcBef>
                              <a:spcPct val="20000"/>
                            </a:spcBef>
                            <a:buFont typeface="Arial" pitchFamily="34" charset="0"/>
                            <a:buNone/>
                            <a:defRPr sz="2000" kern="1200">
                              <a:solidFill>
                                <a:schemeClr val="tx1"/>
                              </a:solidFill>
                              <a:latin typeface="Trebuchet MS" pitchFamily="34" charset="0"/>
                              <a:ea typeface="+mn-ea"/>
                              <a:cs typeface="+mn-cs"/>
                            </a:defRPr>
                          </a:lvl1pPr>
                          <a:lvl2pPr marL="1273565"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2pPr>
                          <a:lvl3pPr marL="1763397"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3pPr>
                          <a:lvl4pPr marL="2302214" indent="-538817"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4pPr>
                          <a:lvl5pPr marL="2694080" indent="-391866"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pPr marL="514350" indent="-514350">
                            <a:buAutoNum type="arabicPeriod"/>
                          </a:pPr>
                          <a:r>
                            <a:rPr lang="en-US" sz="3200" dirty="0" smtClean="0">
                              <a:solidFill>
                                <a:schemeClr val="bg1"/>
                              </a:solidFill>
                            </a:rPr>
                            <a:t>Need for services unknown.</a:t>
                          </a:r>
                        </a:p>
                        <a:p>
                          <a:pPr marL="514350" indent="-514350">
                            <a:buAutoNum type="arabicPeriod"/>
                          </a:pPr>
                          <a:r>
                            <a:rPr lang="en-US" sz="3200" dirty="0" smtClean="0">
                              <a:solidFill>
                                <a:schemeClr val="bg1"/>
                              </a:solidFill>
                            </a:rPr>
                            <a:t>Lack of definite diagnosis.</a:t>
                          </a:r>
                        </a:p>
                        <a:p>
                          <a:pPr marL="514350" indent="-514350">
                            <a:buAutoNum type="arabicPeriod"/>
                          </a:pPr>
                          <a:r>
                            <a:rPr lang="en-US" sz="3200" dirty="0" smtClean="0">
                              <a:solidFill>
                                <a:schemeClr val="bg1"/>
                              </a:solidFill>
                            </a:rPr>
                            <a:t>Need for reactive emergency services after caregiver reaches heavy burden point.</a:t>
                          </a:r>
                        </a:p>
                        <a:p>
                          <a:pPr marL="514350" indent="-514350">
                            <a:buAutoNum type="arabicPeriod"/>
                          </a:pPr>
                          <a:r>
                            <a:rPr lang="en-US" sz="3200" dirty="0" smtClean="0">
                              <a:solidFill>
                                <a:schemeClr val="bg1"/>
                              </a:solidFill>
                            </a:rPr>
                            <a:t>Lack of response to coexisting conditions.</a:t>
                          </a:r>
                        </a:p>
                        <a:p>
                          <a:pPr marL="514350" indent="-514350">
                            <a:buAutoNum type="arabicPeriod"/>
                          </a:pPr>
                          <a:r>
                            <a:rPr lang="en-US" sz="3200" dirty="0" smtClean="0">
                              <a:solidFill>
                                <a:schemeClr val="bg1"/>
                              </a:solidFill>
                            </a:rPr>
                            <a:t>Provider training inadequate and not monitored.</a:t>
                          </a:r>
                        </a:p>
                        <a:p>
                          <a:pPr marL="514350" indent="-514350">
                            <a:buAutoNum type="arabicPeriod"/>
                          </a:pPr>
                          <a:r>
                            <a:rPr lang="en-US" sz="3200" dirty="0" smtClean="0">
                              <a:solidFill>
                                <a:schemeClr val="bg1"/>
                              </a:solidFill>
                            </a:rPr>
                            <a:t>Alaska does not provide Medicaid waivers to individuals with a primary diagnosis of Alzheimer’s Disease and Related Disorders.</a:t>
                          </a:r>
                        </a:p>
                        <a:p>
                          <a:pPr marL="514350" indent="-514350">
                            <a:buAutoNum type="arabicPeriod"/>
                          </a:pPr>
                          <a:r>
                            <a:rPr lang="en-US" sz="3200" dirty="0" smtClean="0">
                              <a:solidFill>
                                <a:schemeClr val="bg1"/>
                              </a:solidFill>
                            </a:rPr>
                            <a:t>Lack of health literacy.</a:t>
                          </a:r>
                        </a:p>
                        <a:p>
                          <a:pPr marL="514350" indent="-514350">
                            <a:buAutoNum type="arabicPeriod"/>
                          </a:pPr>
                          <a:r>
                            <a:rPr lang="en-US" sz="3200" dirty="0" smtClean="0">
                              <a:solidFill>
                                <a:schemeClr val="bg1"/>
                              </a:solidFill>
                            </a:rPr>
                            <a:t>Caregiver </a:t>
                          </a:r>
                          <a:r>
                            <a:rPr lang="en-US" sz="3200" dirty="0" err="1" smtClean="0">
                              <a:solidFill>
                                <a:schemeClr val="bg1"/>
                              </a:solidFill>
                            </a:rPr>
                            <a:t>symptomotology</a:t>
                          </a:r>
                          <a:r>
                            <a:rPr lang="en-US" sz="3200" dirty="0" smtClean="0">
                              <a:solidFill>
                                <a:schemeClr val="bg1"/>
                              </a:solidFill>
                            </a:rPr>
                            <a:t>.</a:t>
                          </a:r>
                        </a:p>
                        <a:p>
                          <a:pPr marL="514350" indent="-514350">
                            <a:buAutoNum type="arabicPeriod"/>
                          </a:pPr>
                          <a:r>
                            <a:rPr lang="en-US" sz="3200" dirty="0" smtClean="0">
                              <a:solidFill>
                                <a:schemeClr val="bg1"/>
                              </a:solidFill>
                            </a:rPr>
                            <a:t>Late referral to palliative care and hospice.</a:t>
                          </a:r>
                        </a:p>
                        <a:p>
                          <a:pPr marL="514350" indent="-514350">
                            <a:buAutoNum type="arabicPeriod"/>
                          </a:pPr>
                          <a:r>
                            <a:rPr lang="en-US" sz="3200" dirty="0" smtClean="0">
                              <a:solidFill>
                                <a:schemeClr val="bg1"/>
                              </a:solidFill>
                            </a:rPr>
                            <a:t> Family issues.</a:t>
                          </a:r>
                        </a:p>
                        <a:p>
                          <a:pPr marL="514350" indent="-514350">
                            <a:buAutoNum type="arabicPeriod"/>
                          </a:pPr>
                          <a:r>
                            <a:rPr lang="en-US" sz="3200" dirty="0" smtClean="0">
                              <a:solidFill>
                                <a:schemeClr val="bg1"/>
                              </a:solidFill>
                            </a:rPr>
                            <a:t> Managing behavioral symptoms.</a:t>
                          </a:r>
                        </a:p>
                        <a:p>
                          <a:pPr marL="514350" indent="-514350">
                            <a:buAutoNum type="arabicPeriod"/>
                          </a:pPr>
                          <a:r>
                            <a:rPr lang="en-US" sz="3200" dirty="0" smtClean="0">
                              <a:solidFill>
                                <a:schemeClr val="bg1"/>
                              </a:solidFill>
                            </a:rPr>
                            <a:t> Stigma associated with the Disease.</a:t>
                          </a:r>
                        </a:p>
                        <a:p>
                          <a:pPr marL="514350" indent="-514350">
                            <a:buAutoNum type="arabicPeriod"/>
                          </a:pPr>
                          <a:r>
                            <a:rPr lang="en-US" sz="3200" dirty="0" smtClean="0">
                              <a:solidFill>
                                <a:schemeClr val="bg1"/>
                              </a:solidFill>
                            </a:rPr>
                            <a:t> Geography challenges specific to State.</a:t>
                          </a:r>
                        </a:p>
                        <a:p>
                          <a:pPr marL="514350" indent="-514350">
                            <a:buAutoNum type="arabicPeriod"/>
                          </a:pPr>
                          <a:r>
                            <a:rPr lang="en-US" sz="3200" dirty="0" smtClean="0">
                              <a:solidFill>
                                <a:schemeClr val="bg1"/>
                              </a:solidFill>
                            </a:rPr>
                            <a:t> Cultural differences client and provider.</a:t>
                          </a:r>
                        </a:p>
                        <a:p>
                          <a:pPr marL="514350" indent="-514350">
                            <a:buAutoNum type="arabicPeriod"/>
                          </a:pPr>
                          <a:r>
                            <a:rPr lang="en-US" sz="3200" dirty="0" smtClean="0">
                              <a:solidFill>
                                <a:schemeClr val="bg1"/>
                              </a:solidFill>
                            </a:rPr>
                            <a:t>Difficulty transitioning to higher level of care.</a:t>
                          </a:r>
                        </a:p>
                        <a:p>
                          <a:pPr marL="514350" indent="-514350">
                            <a:buAutoNum type="arabicPeriod"/>
                          </a:pPr>
                          <a:r>
                            <a:rPr lang="en-US" sz="3200" dirty="0" smtClean="0">
                              <a:solidFill>
                                <a:schemeClr val="bg1"/>
                              </a:solidFill>
                            </a:rPr>
                            <a:t> Forced move to urban areas for services.</a:t>
                          </a:r>
                        </a:p>
                        <a:p>
                          <a:pPr marL="514350" indent="-514350">
                            <a:buAutoNum type="arabicPeriod"/>
                          </a:pPr>
                          <a:r>
                            <a:rPr lang="en-US" sz="3200" dirty="0" smtClean="0">
                              <a:solidFill>
                                <a:schemeClr val="bg1"/>
                              </a:solidFill>
                            </a:rPr>
                            <a:t> Therapeutic nihilism  “nothing to do” for people with Alzheimer’s Disease.</a:t>
                          </a:r>
                        </a:p>
                        <a:p>
                          <a:pPr marL="514350" indent="-514350">
                            <a:buAutoNum type="arabicPeriod"/>
                          </a:pPr>
                          <a:r>
                            <a:rPr lang="en-US" sz="3200" dirty="0" smtClean="0">
                              <a:solidFill>
                                <a:schemeClr val="bg1"/>
                              </a:solidFill>
                            </a:rPr>
                            <a:t>  Late and limited referral to ADRD providers.</a:t>
                          </a:r>
                        </a:p>
                        <a:p>
                          <a:pPr marL="514350" indent="-514350">
                            <a:buAutoNum type="arabicPeriod"/>
                          </a:pPr>
                          <a:r>
                            <a:rPr lang="en-US" sz="3200" dirty="0" smtClean="0">
                              <a:solidFill>
                                <a:schemeClr val="bg1"/>
                              </a:solidFill>
                            </a:rPr>
                            <a:t>Too heavily reliance on pharmaceutical intervention  for  management.</a:t>
                          </a:r>
                        </a:p>
                        <a:p>
                          <a:pPr marL="514350" indent="-514350">
                            <a:buAutoNum type="arabicPeriod"/>
                          </a:pPr>
                          <a:r>
                            <a:rPr lang="en-US" sz="3200" dirty="0" smtClean="0">
                              <a:solidFill>
                                <a:schemeClr val="bg1"/>
                              </a:solidFill>
                            </a:rPr>
                            <a:t> Seven months of winter darkness.</a:t>
                          </a:r>
                        </a:p>
                        <a:p>
                          <a:pPr marL="514350" indent="-514350">
                            <a:buAutoNum type="arabicPeriod"/>
                          </a:pPr>
                          <a:endParaRPr lang="en-US" sz="3200" smtClean="0">
                            <a:solidFill>
                              <a:schemeClr val="bg1"/>
                            </a:solidFill>
                          </a:endParaRPr>
                        </a:p>
                        <a:p>
                          <a:pPr marL="514350" indent="-514350"/>
                          <a:endParaRPr lang="en-US" sz="3200" dirty="0">
                            <a:solidFill>
                              <a:schemeClr val="bg1"/>
                            </a:solidFill>
                          </a:endParaRPr>
                        </a:p>
                      </a:txBody>
                      <a:useSpRect/>
                    </a:txSp>
                  </a:sp>
                  <a:sp>
                    <a:nvSpPr>
                      <a:cNvPr id="13" name="Text Placeholder 12"/>
                      <a:cNvSpPr>
                        <a:spLocks noGrp="1"/>
                      </a:cNvSpPr>
                    </a:nvSpPr>
                    <a:spPr>
                      <a:xfrm>
                        <a:off x="17804524" y="43935"/>
                        <a:ext cx="8274926" cy="814453"/>
                      </a:xfrm>
                      <a:prstGeom prst="rect">
                        <a:avLst/>
                      </a:prstGeom>
                      <a:solidFill>
                        <a:schemeClr val="accent5">
                          <a:lumMod val="50000"/>
                        </a:schemeClr>
                      </a:solidFill>
                    </a:spPr>
                    <a:txSp>
                      <a:txBody>
                        <a:bodyPr wrap="square" lIns="78374" tIns="78374" rIns="78374" bIns="78374" anchor="ctr" anchorCtr="0">
                          <a:spAutoFit/>
                        </a:bodyPr>
                        <a:lstStyle>
                          <a:lvl1pPr marL="1410719" indent="-1410719" algn="ctr" defTabSz="3761915" rtl="0" eaLnBrk="1" latinLnBrk="0" hangingPunct="1">
                            <a:spcBef>
                              <a:spcPct val="20000"/>
                            </a:spcBef>
                            <a:buFont typeface="Arial" pitchFamily="34" charset="0"/>
                            <a:buNone/>
                            <a:defRPr sz="2800" b="1" kern="1200" baseline="0">
                              <a:solidFill>
                                <a:schemeClr val="bg1"/>
                              </a:solidFill>
                              <a:latin typeface="+mn-lt"/>
                              <a:ea typeface="+mn-ea"/>
                              <a:cs typeface="+mn-cs"/>
                            </a:defRPr>
                          </a:lvl1pPr>
                          <a:lvl2pPr marL="3056556" indent="-1175598" algn="l" defTabSz="3761915" rtl="0" eaLnBrk="1" latinLnBrk="0" hangingPunct="1">
                            <a:spcBef>
                              <a:spcPct val="20000"/>
                            </a:spcBef>
                            <a:buFont typeface="Arial" pitchFamily="34" charset="0"/>
                            <a:buChar char="–"/>
                            <a:defRPr sz="11600" kern="1200">
                              <a:solidFill>
                                <a:schemeClr val="tx1"/>
                              </a:solidFill>
                              <a:latin typeface="+mn-lt"/>
                              <a:ea typeface="+mn-ea"/>
                              <a:cs typeface="+mn-cs"/>
                            </a:defRPr>
                          </a:lvl2pPr>
                          <a:lvl3pPr marL="4702394" indent="-940479" algn="l" defTabSz="3761915" rtl="0" eaLnBrk="1" latinLnBrk="0" hangingPunct="1">
                            <a:spcBef>
                              <a:spcPct val="20000"/>
                            </a:spcBef>
                            <a:buFont typeface="Arial" pitchFamily="34" charset="0"/>
                            <a:buChar char="•"/>
                            <a:defRPr sz="9900" kern="1200">
                              <a:solidFill>
                                <a:schemeClr val="tx1"/>
                              </a:solidFill>
                              <a:latin typeface="+mn-lt"/>
                              <a:ea typeface="+mn-ea"/>
                              <a:cs typeface="+mn-cs"/>
                            </a:defRPr>
                          </a:lvl3pPr>
                          <a:lvl4pPr marL="6583352"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4pPr>
                          <a:lvl5pPr marL="8464308"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r>
                            <a:rPr lang="en-US" sz="3600" dirty="0" smtClean="0"/>
                            <a:t>Care Coordination Challenges</a:t>
                          </a:r>
                          <a:endParaRPr lang="en-US" sz="3600" dirty="0"/>
                        </a:p>
                      </a:txBody>
                      <a:useSpRect/>
                    </a:txSp>
                  </a:sp>
                  <a:sp>
                    <a:nvSpPr>
                      <a:cNvPr id="14" name="Text Placeholder 13"/>
                      <a:cNvSpPr>
                        <a:spLocks noGrp="1"/>
                      </a:cNvSpPr>
                    </a:nvSpPr>
                    <a:spPr>
                      <a:xfrm>
                        <a:off x="35524440" y="0"/>
                        <a:ext cx="8272463" cy="712277"/>
                      </a:xfrm>
                      <a:prstGeom prst="rect">
                        <a:avLst/>
                      </a:prstGeom>
                      <a:solidFill>
                        <a:schemeClr val="accent5">
                          <a:lumMod val="50000"/>
                        </a:schemeClr>
                      </a:solidFill>
                    </a:spPr>
                    <a:txSp>
                      <a:txBody>
                        <a:bodyPr wrap="square" lIns="78374" tIns="78374" rIns="78374" bIns="78374" anchor="ctr" anchorCtr="0">
                          <a:spAutoFit/>
                        </a:bodyPr>
                        <a:lstStyle>
                          <a:lvl1pPr marL="1410719" indent="-1410719" algn="ctr" defTabSz="3761915" rtl="0" eaLnBrk="1" latinLnBrk="0" hangingPunct="1">
                            <a:spcBef>
                              <a:spcPct val="20000"/>
                            </a:spcBef>
                            <a:buFont typeface="Arial" pitchFamily="34" charset="0"/>
                            <a:buNone/>
                            <a:defRPr sz="2800" b="1" kern="1200" baseline="0">
                              <a:solidFill>
                                <a:schemeClr val="bg1"/>
                              </a:solidFill>
                              <a:latin typeface="+mn-lt"/>
                              <a:ea typeface="+mn-ea"/>
                              <a:cs typeface="+mn-cs"/>
                            </a:defRPr>
                          </a:lvl1pPr>
                          <a:lvl2pPr marL="3056556" indent="-1175598" algn="l" defTabSz="3761915" rtl="0" eaLnBrk="1" latinLnBrk="0" hangingPunct="1">
                            <a:spcBef>
                              <a:spcPct val="20000"/>
                            </a:spcBef>
                            <a:buFont typeface="Arial" pitchFamily="34" charset="0"/>
                            <a:buChar char="–"/>
                            <a:defRPr sz="11600" kern="1200">
                              <a:solidFill>
                                <a:schemeClr val="tx1"/>
                              </a:solidFill>
                              <a:latin typeface="+mn-lt"/>
                              <a:ea typeface="+mn-ea"/>
                              <a:cs typeface="+mn-cs"/>
                            </a:defRPr>
                          </a:lvl2pPr>
                          <a:lvl3pPr marL="4702394" indent="-940479" algn="l" defTabSz="3761915" rtl="0" eaLnBrk="1" latinLnBrk="0" hangingPunct="1">
                            <a:spcBef>
                              <a:spcPct val="20000"/>
                            </a:spcBef>
                            <a:buFont typeface="Arial" pitchFamily="34" charset="0"/>
                            <a:buChar char="•"/>
                            <a:defRPr sz="9900" kern="1200">
                              <a:solidFill>
                                <a:schemeClr val="tx1"/>
                              </a:solidFill>
                              <a:latin typeface="+mn-lt"/>
                              <a:ea typeface="+mn-ea"/>
                              <a:cs typeface="+mn-cs"/>
                            </a:defRPr>
                          </a:lvl3pPr>
                          <a:lvl4pPr marL="6583352"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4pPr>
                          <a:lvl5pPr marL="8464308"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r>
                            <a:rPr lang="en-US" sz="3600" dirty="0" smtClean="0"/>
                            <a:t>Conclusions</a:t>
                          </a:r>
                          <a:endParaRPr lang="en-US" sz="3600" dirty="0"/>
                        </a:p>
                      </a:txBody>
                      <a:useSpRect/>
                    </a:txSp>
                  </a:sp>
                  <a:sp>
                    <a:nvSpPr>
                      <a:cNvPr id="15" name="Text Placeholder 14"/>
                      <a:cNvSpPr>
                        <a:spLocks noGrp="1"/>
                      </a:cNvSpPr>
                    </a:nvSpPr>
                    <a:spPr>
                      <a:xfrm>
                        <a:off x="35147250" y="3232792"/>
                        <a:ext cx="8272463" cy="492443"/>
                      </a:xfrm>
                      <a:prstGeom prst="rect">
                        <a:avLst/>
                      </a:prstGeom>
                    </a:spPr>
                    <a:txSp>
                      <a:txBody>
                        <a:bodyPr wrap="square" lIns="91440" tIns="91440" rIns="91440" bIns="91440">
                          <a:spAutoFit/>
                        </a:bodyPr>
                        <a:lstStyle>
                          <a:lvl1pPr marL="0" indent="0" algn="l" defTabSz="3761915" rtl="0" eaLnBrk="1" latinLnBrk="0" hangingPunct="1">
                            <a:spcBef>
                              <a:spcPct val="20000"/>
                            </a:spcBef>
                            <a:buFont typeface="Arial" pitchFamily="34" charset="0"/>
                            <a:buNone/>
                            <a:defRPr sz="2000" kern="1200">
                              <a:solidFill>
                                <a:schemeClr val="tx1"/>
                              </a:solidFill>
                              <a:latin typeface="Trebuchet MS" pitchFamily="34" charset="0"/>
                              <a:ea typeface="+mn-ea"/>
                              <a:cs typeface="+mn-cs"/>
                            </a:defRPr>
                          </a:lvl1pPr>
                          <a:lvl2pPr marL="1273565"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2pPr>
                          <a:lvl3pPr marL="1763397"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3pPr>
                          <a:lvl4pPr marL="2302214" indent="-538817"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4pPr>
                          <a:lvl5pPr marL="2694080" indent="-391866"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dirty="0"/>
                        </a:p>
                      </a:txBody>
                      <a:useSpRect/>
                    </a:txSp>
                  </a:sp>
                  <a:sp>
                    <a:nvSpPr>
                      <a:cNvPr id="16" name="Text Placeholder 15"/>
                      <a:cNvSpPr>
                        <a:spLocks noGrp="1"/>
                      </a:cNvSpPr>
                    </a:nvSpPr>
                    <a:spPr>
                      <a:xfrm>
                        <a:off x="35147250" y="6501861"/>
                        <a:ext cx="8272463" cy="712277"/>
                      </a:xfrm>
                      <a:prstGeom prst="rect">
                        <a:avLst/>
                      </a:prstGeom>
                      <a:solidFill>
                        <a:schemeClr val="accent5">
                          <a:lumMod val="50000"/>
                        </a:schemeClr>
                      </a:solidFill>
                    </a:spPr>
                    <a:txSp>
                      <a:txBody>
                        <a:bodyPr wrap="square" lIns="78374" tIns="78374" rIns="78374" bIns="78374" anchor="ctr" anchorCtr="0">
                          <a:spAutoFit/>
                        </a:bodyPr>
                        <a:lstStyle>
                          <a:lvl1pPr marL="1410719" indent="-1410719" algn="ctr" defTabSz="3761915" rtl="0" eaLnBrk="1" latinLnBrk="0" hangingPunct="1">
                            <a:spcBef>
                              <a:spcPct val="20000"/>
                            </a:spcBef>
                            <a:buFont typeface="Arial" pitchFamily="34" charset="0"/>
                            <a:buNone/>
                            <a:defRPr sz="2800" b="1" kern="1200" baseline="0">
                              <a:solidFill>
                                <a:schemeClr val="bg1"/>
                              </a:solidFill>
                              <a:latin typeface="+mn-lt"/>
                              <a:ea typeface="+mn-ea"/>
                              <a:cs typeface="+mn-cs"/>
                            </a:defRPr>
                          </a:lvl1pPr>
                          <a:lvl2pPr marL="3056556" indent="-1175598" algn="l" defTabSz="3761915" rtl="0" eaLnBrk="1" latinLnBrk="0" hangingPunct="1">
                            <a:spcBef>
                              <a:spcPct val="20000"/>
                            </a:spcBef>
                            <a:buFont typeface="Arial" pitchFamily="34" charset="0"/>
                            <a:buChar char="–"/>
                            <a:defRPr sz="11600" kern="1200">
                              <a:solidFill>
                                <a:schemeClr val="tx1"/>
                              </a:solidFill>
                              <a:latin typeface="+mn-lt"/>
                              <a:ea typeface="+mn-ea"/>
                              <a:cs typeface="+mn-cs"/>
                            </a:defRPr>
                          </a:lvl2pPr>
                          <a:lvl3pPr marL="4702394" indent="-940479" algn="l" defTabSz="3761915" rtl="0" eaLnBrk="1" latinLnBrk="0" hangingPunct="1">
                            <a:spcBef>
                              <a:spcPct val="20000"/>
                            </a:spcBef>
                            <a:buFont typeface="Arial" pitchFamily="34" charset="0"/>
                            <a:buChar char="•"/>
                            <a:defRPr sz="9900" kern="1200">
                              <a:solidFill>
                                <a:schemeClr val="tx1"/>
                              </a:solidFill>
                              <a:latin typeface="+mn-lt"/>
                              <a:ea typeface="+mn-ea"/>
                              <a:cs typeface="+mn-cs"/>
                            </a:defRPr>
                          </a:lvl3pPr>
                          <a:lvl4pPr marL="6583352"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4pPr>
                          <a:lvl5pPr marL="8464308"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r>
                            <a:rPr lang="en-US" sz="3600" dirty="0" smtClean="0"/>
                            <a:t>References</a:t>
                          </a:r>
                          <a:endParaRPr lang="en-US" sz="3600" dirty="0"/>
                        </a:p>
                      </a:txBody>
                      <a:useSpRect/>
                    </a:txSp>
                  </a:sp>
                  <a:sp>
                    <a:nvSpPr>
                      <a:cNvPr id="17" name="Text Placeholder 16"/>
                      <a:cNvSpPr>
                        <a:spLocks noGrp="1"/>
                      </a:cNvSpPr>
                    </a:nvSpPr>
                    <a:spPr>
                      <a:xfrm>
                        <a:off x="35147250" y="7157545"/>
                        <a:ext cx="8272462" cy="9060942"/>
                      </a:xfrm>
                      <a:prstGeom prst="rect">
                        <a:avLst/>
                      </a:prstGeom>
                    </a:spPr>
                    <a:txSp>
                      <a:txBody>
                        <a:bodyPr wrap="square" lIns="91440" tIns="91440" rIns="91440" bIns="91440">
                          <a:spAutoFit/>
                        </a:bodyPr>
                        <a:lstStyle>
                          <a:lvl1pPr marL="0" indent="0" algn="l" defTabSz="3761915" rtl="0" eaLnBrk="1" latinLnBrk="0" hangingPunct="1">
                            <a:spcBef>
                              <a:spcPct val="20000"/>
                            </a:spcBef>
                            <a:buFont typeface="Arial" pitchFamily="34" charset="0"/>
                            <a:buNone/>
                            <a:defRPr sz="2000" kern="1200">
                              <a:solidFill>
                                <a:schemeClr val="tx1"/>
                              </a:solidFill>
                              <a:latin typeface="Trebuchet MS" pitchFamily="34" charset="0"/>
                              <a:ea typeface="+mn-ea"/>
                              <a:cs typeface="+mn-cs"/>
                            </a:defRPr>
                          </a:lvl1pPr>
                          <a:lvl2pPr marL="1273565"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2pPr>
                          <a:lvl3pPr marL="1763397"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3pPr>
                          <a:lvl4pPr marL="2302214" indent="-538817"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4pPr>
                          <a:lvl5pPr marL="2694080" indent="-391866"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r>
                            <a:rPr lang="en-US" sz="2800" dirty="0" smtClean="0"/>
                            <a:t>Alzheimer’s Resource of Alaska (2010). </a:t>
                          </a:r>
                          <a:r>
                            <a:rPr lang="en-US" sz="2800" i="1" dirty="0" smtClean="0"/>
                            <a:t>Annual report. </a:t>
                          </a:r>
                          <a:r>
                            <a:rPr lang="en-US" sz="2800" dirty="0" smtClean="0"/>
                            <a:t>Anchorage, AK:   Alzheimer’s Resource of Alaska.</a:t>
                          </a:r>
                        </a:p>
                        <a:p>
                          <a:endParaRPr lang="en-US" sz="2800" dirty="0" smtClean="0"/>
                        </a:p>
                        <a:p>
                          <a:r>
                            <a:rPr lang="en-US" sz="2800" dirty="0" smtClean="0"/>
                            <a:t>Alaska Commission on Aging (2011). </a:t>
                          </a:r>
                          <a:r>
                            <a:rPr lang="en-US" sz="2800" i="1" dirty="0" smtClean="0"/>
                            <a:t>State plan for senior services, FY     2012 – FY 2015.</a:t>
                          </a:r>
                          <a:r>
                            <a:rPr lang="en-US" sz="2800" dirty="0" smtClean="0"/>
                            <a:t> Juneau, AK: Author.</a:t>
                          </a:r>
                        </a:p>
                        <a:p>
                          <a:endParaRPr lang="en-US" sz="2800" dirty="0" smtClean="0"/>
                        </a:p>
                        <a:p>
                          <a:r>
                            <a:rPr lang="en-US" sz="2800" dirty="0" smtClean="0"/>
                            <a:t>Cunningham, P. (2011). </a:t>
                          </a:r>
                          <a:r>
                            <a:rPr lang="en-US" sz="2800" i="1" dirty="0" smtClean="0"/>
                            <a:t>Care coordinator focus group findings report.  </a:t>
                          </a:r>
                          <a:r>
                            <a:rPr lang="en-US" sz="2800" dirty="0" smtClean="0"/>
                            <a:t>Anchorage, AK: Author.</a:t>
                          </a:r>
                        </a:p>
                        <a:p>
                          <a:endParaRPr lang="en-US" sz="2800" dirty="0" smtClean="0"/>
                        </a:p>
                        <a:p>
                          <a:r>
                            <a:rPr lang="en-US" sz="2800" dirty="0" smtClean="0"/>
                            <a:t> Rothman, J. and  Sager, J. (2006). </a:t>
                          </a:r>
                          <a:r>
                            <a:rPr lang="en-US" sz="2800" i="1" dirty="0" smtClean="0"/>
                            <a:t>Case management: Integrating individual and community practice</a:t>
                          </a:r>
                          <a:r>
                            <a:rPr lang="en-US" sz="2800" dirty="0" smtClean="0"/>
                            <a:t>,(3</a:t>
                          </a:r>
                          <a:r>
                            <a:rPr lang="en-US" sz="2800" baseline="30000" dirty="0" smtClean="0"/>
                            <a:t>rd</a:t>
                          </a:r>
                          <a:r>
                            <a:rPr lang="en-US" sz="2800" dirty="0" smtClean="0"/>
                            <a:t> Ed.). Boston: Allyn and Bacon.</a:t>
                          </a:r>
                        </a:p>
                        <a:p>
                          <a:endParaRPr lang="en-US" sz="2800" dirty="0" smtClean="0"/>
                        </a:p>
                        <a:p>
                          <a:r>
                            <a:rPr lang="en-US" sz="2800" dirty="0" smtClean="0"/>
                            <a:t>Branch, K. (2005). </a:t>
                          </a:r>
                          <a:r>
                            <a:rPr lang="en-US" sz="2800" i="1" dirty="0" smtClean="0"/>
                            <a:t>Long term care needs of Alaska Native elders.</a:t>
                          </a:r>
                          <a:r>
                            <a:rPr lang="en-US" sz="2800" dirty="0" smtClean="0"/>
                            <a:t> Anchorage, AK: Alaska Native Tribal Health Consortium.</a:t>
                          </a:r>
                          <a:endParaRPr lang="en-US" sz="2800" dirty="0"/>
                        </a:p>
                      </a:txBody>
                      <a:useSpRect/>
                    </a:txSp>
                  </a:sp>
                  <a:sp>
                    <a:nvSpPr>
                      <a:cNvPr id="20" name="Text Placeholder 19"/>
                      <a:cNvSpPr>
                        <a:spLocks noGrp="1"/>
                      </a:cNvSpPr>
                    </a:nvSpPr>
                    <a:spPr>
                      <a:xfrm>
                        <a:off x="9133786" y="858388"/>
                        <a:ext cx="8271345" cy="8974765"/>
                      </a:xfrm>
                      <a:prstGeom prst="rect">
                        <a:avLst/>
                      </a:prstGeom>
                      <a:solidFill>
                        <a:schemeClr val="bg2">
                          <a:lumMod val="25000"/>
                        </a:schemeClr>
                      </a:solidFill>
                    </a:spPr>
                    <a:txSp>
                      <a:txBody>
                        <a:bodyPr wrap="square" lIns="91440" tIns="91440" rIns="91440" bIns="91440">
                          <a:spAutoFit/>
                        </a:bodyPr>
                        <a:lstStyle>
                          <a:lvl1pPr marL="0" indent="0" algn="l" defTabSz="3761915" rtl="0" eaLnBrk="1" latinLnBrk="0" hangingPunct="1">
                            <a:spcBef>
                              <a:spcPct val="20000"/>
                            </a:spcBef>
                            <a:buFont typeface="Arial" pitchFamily="34" charset="0"/>
                            <a:buNone/>
                            <a:defRPr sz="2000" kern="1200">
                              <a:solidFill>
                                <a:schemeClr val="tx1"/>
                              </a:solidFill>
                              <a:latin typeface="Trebuchet MS" pitchFamily="34" charset="0"/>
                              <a:ea typeface="+mn-ea"/>
                              <a:cs typeface="+mn-cs"/>
                            </a:defRPr>
                          </a:lvl1pPr>
                          <a:lvl2pPr marL="1273565"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2pPr>
                          <a:lvl3pPr marL="1763397"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3pPr>
                          <a:lvl4pPr marL="2302214" indent="-538817"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4pPr>
                          <a:lvl5pPr marL="2694080" indent="-391866"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r>
                            <a:rPr lang="en-US" sz="2800" b="1" dirty="0" smtClean="0">
                              <a:solidFill>
                                <a:schemeClr val="bg1"/>
                              </a:solidFill>
                            </a:rPr>
                            <a:t>Care Coordination: </a:t>
                          </a:r>
                          <a:r>
                            <a:rPr lang="en-US" sz="2800" dirty="0" smtClean="0">
                              <a:solidFill>
                                <a:schemeClr val="bg1"/>
                              </a:solidFill>
                            </a:rPr>
                            <a:t>Care coordination connects clients with support services to enable them to remain living at home or in the community of choice. Through assessments of clients’ abilities, health, support structure, and need for assistance, care coordinators develop a</a:t>
                          </a:r>
                        </a:p>
                        <a:p>
                          <a:r>
                            <a:rPr lang="en-US" sz="2800" dirty="0" smtClean="0">
                              <a:solidFill>
                                <a:schemeClr val="bg1"/>
                              </a:solidFill>
                            </a:rPr>
                            <a:t>network of services, both formal and informal, unique to the specific individual. Care coordinators design plans of care acceptable to the client and family, and assist the client in obtaining the specified services. While receiving care coordination services, the client’s</a:t>
                          </a:r>
                        </a:p>
                        <a:p>
                          <a:r>
                            <a:rPr lang="en-US" sz="2800" dirty="0" smtClean="0">
                              <a:solidFill>
                                <a:schemeClr val="bg1"/>
                              </a:solidFill>
                            </a:rPr>
                            <a:t>situation is periodically reevaluated to assure that the plan of care meets the individual’s changing needs in order to remain at home. While grant-funded care coordination is limited in Alaska, there has been considerable growth in private care coordination services due to funding from the Medicaid Waiver program, for Medicaid eligible individuals with nursing home level needs</a:t>
                          </a:r>
                          <a:endParaRPr lang="en-US" sz="2800" dirty="0">
                            <a:solidFill>
                              <a:schemeClr val="bg1"/>
                            </a:solidFill>
                          </a:endParaRPr>
                        </a:p>
                      </a:txBody>
                      <a:useSpRect/>
                    </a:txSp>
                  </a:sp>
                  <a:sp>
                    <a:nvSpPr>
                      <a:cNvPr id="21" name="Picture Placeholder 20"/>
                      <a:cNvSpPr>
                        <a:spLocks noGrp="1"/>
                      </a:cNvSpPr>
                    </a:nvSpPr>
                    <a:spPr>
                      <a:xfrm>
                        <a:off x="-6531684" y="11845775"/>
                        <a:ext cx="4103794" cy="3091447"/>
                      </a:xfrm>
                      <a:prstGeom prst="rect">
                        <a:avLst/>
                      </a:prstGeom>
                      <a:solidFill>
                        <a:schemeClr val="bg2"/>
                      </a:solidFill>
                      <a:ln>
                        <a:solidFill>
                          <a:schemeClr val="tx2"/>
                        </a:solidFill>
                      </a:ln>
                      <a:effectLst/>
                    </a:spPr>
                  </a:sp>
                  <a:sp>
                    <a:nvSpPr>
                      <a:cNvPr id="22" name="Picture Placeholder 21"/>
                      <a:cNvSpPr>
                        <a:spLocks noGrp="1"/>
                      </a:cNvSpPr>
                    </a:nvSpPr>
                    <a:spPr>
                      <a:xfrm>
                        <a:off x="-6531684" y="11845775"/>
                        <a:ext cx="4103794" cy="3091447"/>
                      </a:xfrm>
                      <a:prstGeom prst="rect">
                        <a:avLst/>
                      </a:prstGeom>
                      <a:solidFill>
                        <a:schemeClr val="bg2"/>
                      </a:solidFill>
                      <a:ln>
                        <a:solidFill>
                          <a:schemeClr val="tx2"/>
                        </a:solidFill>
                      </a:ln>
                      <a:effectLst/>
                    </a:spPr>
                  </a:sp>
                  <a:sp>
                    <a:nvSpPr>
                      <a:cNvPr id="23" name="Picture Placeholder 22"/>
                      <a:cNvSpPr>
                        <a:spLocks noGrp="1"/>
                      </a:cNvSpPr>
                    </a:nvSpPr>
                    <a:spPr>
                      <a:xfrm>
                        <a:off x="-6531684" y="11845775"/>
                        <a:ext cx="4103794" cy="3091447"/>
                      </a:xfrm>
                      <a:prstGeom prst="rect">
                        <a:avLst/>
                      </a:prstGeom>
                      <a:solidFill>
                        <a:schemeClr val="bg2"/>
                      </a:solidFill>
                      <a:ln>
                        <a:solidFill>
                          <a:schemeClr val="tx2"/>
                        </a:solidFill>
                      </a:ln>
                      <a:effectLst/>
                    </a:spPr>
                  </a:sp>
                  <a:sp>
                    <a:nvSpPr>
                      <a:cNvPr id="24" name="Picture Placeholder 23"/>
                      <a:cNvSpPr>
                        <a:spLocks noGrp="1"/>
                      </a:cNvSpPr>
                    </a:nvSpPr>
                    <a:spPr>
                      <a:xfrm>
                        <a:off x="-6531684" y="11845775"/>
                        <a:ext cx="4103794" cy="3091447"/>
                      </a:xfrm>
                      <a:prstGeom prst="rect">
                        <a:avLst/>
                      </a:prstGeom>
                      <a:solidFill>
                        <a:schemeClr val="bg2"/>
                      </a:solidFill>
                      <a:ln>
                        <a:solidFill>
                          <a:schemeClr val="tx2"/>
                        </a:solidFill>
                      </a:ln>
                      <a:effectLst/>
                    </a:spPr>
                  </a:sp>
                  <a:sp>
                    <a:nvSpPr>
                      <a:cNvPr id="25" name="Picture Placeholder 24"/>
                      <a:cNvSpPr>
                        <a:spLocks noGrp="1"/>
                      </a:cNvSpPr>
                    </a:nvSpPr>
                    <a:spPr>
                      <a:xfrm>
                        <a:off x="-6531684" y="11845775"/>
                        <a:ext cx="4103794" cy="3091447"/>
                      </a:xfrm>
                      <a:prstGeom prst="rect">
                        <a:avLst/>
                      </a:prstGeom>
                      <a:solidFill>
                        <a:schemeClr val="bg2"/>
                      </a:solidFill>
                      <a:ln>
                        <a:solidFill>
                          <a:schemeClr val="tx2"/>
                        </a:solidFill>
                      </a:ln>
                      <a:effectLst/>
                    </a:spPr>
                  </a:sp>
                  <a:sp>
                    <a:nvSpPr>
                      <a:cNvPr id="26" name="Picture Placeholder 25"/>
                      <a:cNvSpPr>
                        <a:spLocks noGrp="1"/>
                      </a:cNvSpPr>
                    </a:nvSpPr>
                    <a:spPr>
                      <a:xfrm>
                        <a:off x="-6531684" y="11845775"/>
                        <a:ext cx="4103794" cy="3091447"/>
                      </a:xfrm>
                      <a:prstGeom prst="rect">
                        <a:avLst/>
                      </a:prstGeom>
                      <a:solidFill>
                        <a:schemeClr val="bg2"/>
                      </a:solidFill>
                      <a:ln>
                        <a:solidFill>
                          <a:schemeClr val="tx2"/>
                        </a:solidFill>
                      </a:ln>
                      <a:effectLst/>
                    </a:spPr>
                  </a:sp>
                  <a:sp>
                    <a:nvSpPr>
                      <a:cNvPr id="27" name="Picture Placeholder 26"/>
                      <a:cNvSpPr>
                        <a:spLocks noGrp="1"/>
                      </a:cNvSpPr>
                    </a:nvSpPr>
                    <a:spPr>
                      <a:xfrm>
                        <a:off x="-6531684" y="11845775"/>
                        <a:ext cx="4103794" cy="3091447"/>
                      </a:xfrm>
                      <a:prstGeom prst="rect">
                        <a:avLst/>
                      </a:prstGeom>
                      <a:solidFill>
                        <a:schemeClr val="bg2"/>
                      </a:solidFill>
                      <a:ln>
                        <a:solidFill>
                          <a:schemeClr val="tx2"/>
                        </a:solidFill>
                      </a:ln>
                      <a:effectLst/>
                    </a:spPr>
                  </a:sp>
                  <a:pic>
                    <a:nvPicPr>
                      <a:cNvPr id="79" name="Picture Placeholder 78" descr="DSC01837.JPG"/>
                      <a:cNvPicPr>
                        <a:picLocks noGrp="1" noChangeAspect="1"/>
                      </a:cNvPicPr>
                    </a:nvPicPr>
                    <a:blipFill>
                      <a:blip r:embed="rId5"/>
                      <a:srcRect l="212" r="212"/>
                      <a:stretch>
                        <a:fillRect/>
                      </a:stretch>
                    </a:blipFill>
                    <a:spPr>
                      <a:xfrm>
                        <a:off x="-6531684" y="11845775"/>
                        <a:ext cx="4103794" cy="3091447"/>
                      </a:xfrm>
                      <a:prstGeom prst="rect">
                        <a:avLst/>
                      </a:prstGeom>
                      <a:solidFill>
                        <a:schemeClr val="bg2"/>
                      </a:solidFill>
                      <a:ln>
                        <a:solidFill>
                          <a:schemeClr val="tx2"/>
                        </a:solidFill>
                      </a:ln>
                      <a:effectLst/>
                    </a:spPr>
                  </a:pic>
                  <a:sp>
                    <a:nvSpPr>
                      <a:cNvPr id="32" name="Text Placeholder 31"/>
                      <a:cNvSpPr>
                        <a:spLocks noGrp="1"/>
                      </a:cNvSpPr>
                    </a:nvSpPr>
                    <a:spPr>
                      <a:xfrm>
                        <a:off x="26462419" y="858387"/>
                        <a:ext cx="8274926" cy="19980854"/>
                      </a:xfrm>
                      <a:prstGeom prst="rect">
                        <a:avLst/>
                      </a:prstGeom>
                      <a:solidFill>
                        <a:schemeClr val="bg2">
                          <a:lumMod val="25000"/>
                        </a:schemeClr>
                      </a:solidFill>
                    </a:spPr>
                    <a:txSp>
                      <a:txBody>
                        <a:bodyPr wrap="square" lIns="91440" tIns="91440" rIns="91440" bIns="91440">
                          <a:spAutoFit/>
                        </a:bodyPr>
                        <a:lstStyle>
                          <a:lvl1pPr marL="0" indent="0" algn="l" defTabSz="3761915" rtl="0" eaLnBrk="1" latinLnBrk="0" hangingPunct="1">
                            <a:spcBef>
                              <a:spcPct val="20000"/>
                            </a:spcBef>
                            <a:buFont typeface="Arial" pitchFamily="34" charset="0"/>
                            <a:buNone/>
                            <a:defRPr sz="2000" kern="1200">
                              <a:solidFill>
                                <a:schemeClr val="tx1"/>
                              </a:solidFill>
                              <a:latin typeface="Trebuchet MS" pitchFamily="34" charset="0"/>
                              <a:ea typeface="+mn-ea"/>
                              <a:cs typeface="+mn-cs"/>
                            </a:defRPr>
                          </a:lvl1pPr>
                          <a:lvl2pPr marL="1273565"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2pPr>
                          <a:lvl3pPr marL="1763397"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3pPr>
                          <a:lvl4pPr marL="2302214" indent="-538817"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4pPr>
                          <a:lvl5pPr marL="2694080" indent="-391866"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pPr marL="514350" indent="-514350">
                            <a:buAutoNum type="arabicPeriod"/>
                          </a:pPr>
                          <a:r>
                            <a:rPr lang="en-US" sz="3200" dirty="0" smtClean="0">
                              <a:solidFill>
                                <a:schemeClr val="bg1"/>
                              </a:solidFill>
                            </a:rPr>
                            <a:t>Study to determine the prevalence of ADRD in Alaska.</a:t>
                          </a:r>
                        </a:p>
                        <a:p>
                          <a:pPr marL="514350" indent="-514350">
                            <a:buFont typeface="Arial" pitchFamily="34" charset="0"/>
                            <a:buAutoNum type="arabicPeriod"/>
                          </a:pPr>
                          <a:r>
                            <a:rPr lang="en-US" sz="3200" dirty="0" smtClean="0">
                              <a:solidFill>
                                <a:schemeClr val="bg1"/>
                              </a:solidFill>
                            </a:rPr>
                            <a:t>Use of cognitive testing and biomarker identification.</a:t>
                          </a:r>
                        </a:p>
                        <a:p>
                          <a:pPr marL="514350" indent="-514350">
                            <a:buAutoNum type="arabicPeriod"/>
                          </a:pPr>
                          <a:r>
                            <a:rPr lang="en-US" sz="3200" dirty="0" smtClean="0">
                              <a:solidFill>
                                <a:schemeClr val="bg1"/>
                              </a:solidFill>
                            </a:rPr>
                            <a:t>Proactive early detection and engagement in services.</a:t>
                          </a:r>
                        </a:p>
                        <a:p>
                          <a:pPr marL="514350" indent="-514350">
                            <a:buAutoNum type="arabicPeriod"/>
                          </a:pPr>
                          <a:r>
                            <a:rPr lang="en-US" sz="3200" dirty="0" smtClean="0">
                              <a:solidFill>
                                <a:schemeClr val="bg1"/>
                              </a:solidFill>
                            </a:rPr>
                            <a:t>Provider sensitization to other conditions</a:t>
                          </a:r>
                        </a:p>
                        <a:p>
                          <a:pPr marL="514350" indent="-514350">
                            <a:buAutoNum type="arabicPeriod"/>
                          </a:pPr>
                          <a:r>
                            <a:rPr lang="en-US" sz="3200" dirty="0" smtClean="0">
                              <a:solidFill>
                                <a:schemeClr val="bg1"/>
                              </a:solidFill>
                            </a:rPr>
                            <a:t>Statewide licensing and monitoring,</a:t>
                          </a:r>
                        </a:p>
                        <a:p>
                          <a:pPr marL="514350" indent="-514350">
                            <a:buAutoNum type="arabicPeriod"/>
                          </a:pPr>
                          <a:r>
                            <a:rPr lang="en-US" sz="3200" dirty="0" smtClean="0">
                              <a:solidFill>
                                <a:schemeClr val="bg1"/>
                              </a:solidFill>
                            </a:rPr>
                            <a:t>Create a separate Medicaid Category for ADHD.</a:t>
                          </a:r>
                        </a:p>
                        <a:p>
                          <a:pPr marL="514350" indent="-514350">
                            <a:buAutoNum type="arabicPeriod"/>
                          </a:pPr>
                          <a:r>
                            <a:rPr lang="en-US" sz="3200" dirty="0" smtClean="0">
                              <a:solidFill>
                                <a:schemeClr val="bg1"/>
                              </a:solidFill>
                            </a:rPr>
                            <a:t>Public health education throughout the State.</a:t>
                          </a:r>
                        </a:p>
                        <a:p>
                          <a:pPr marL="514350" indent="-514350">
                            <a:buAutoNum type="arabicPeriod"/>
                          </a:pPr>
                          <a:r>
                            <a:rPr lang="en-US" sz="3200" dirty="0" smtClean="0">
                              <a:solidFill>
                                <a:schemeClr val="bg1"/>
                              </a:solidFill>
                            </a:rPr>
                            <a:t>Train coordinators to be sensitized to caregiver symptoms and need for respite</a:t>
                          </a:r>
                        </a:p>
                        <a:p>
                          <a:pPr marL="514350" indent="-514350">
                            <a:buAutoNum type="arabicPeriod"/>
                          </a:pPr>
                          <a:r>
                            <a:rPr lang="en-US" sz="3200" dirty="0" smtClean="0">
                              <a:solidFill>
                                <a:schemeClr val="bg1"/>
                              </a:solidFill>
                            </a:rPr>
                            <a:t>Plan for palliative care and hospice early in service provision.</a:t>
                          </a:r>
                        </a:p>
                        <a:p>
                          <a:pPr marL="514350" indent="-514350">
                            <a:buAutoNum type="arabicPeriod"/>
                          </a:pPr>
                          <a:r>
                            <a:rPr lang="en-US" sz="3200" dirty="0" smtClean="0">
                              <a:solidFill>
                                <a:schemeClr val="bg1"/>
                              </a:solidFill>
                            </a:rPr>
                            <a:t> Train professions in family dynamics and mediation.</a:t>
                          </a:r>
                        </a:p>
                        <a:p>
                          <a:pPr marL="514350" indent="-514350">
                            <a:buAutoNum type="arabicPeriod"/>
                          </a:pPr>
                          <a:r>
                            <a:rPr lang="en-US" sz="3200" dirty="0" smtClean="0">
                              <a:solidFill>
                                <a:schemeClr val="bg1"/>
                              </a:solidFill>
                            </a:rPr>
                            <a:t>Utilize aggressive symptom management</a:t>
                          </a:r>
                        </a:p>
                        <a:p>
                          <a:pPr marL="514350" indent="-514350">
                            <a:buAutoNum type="arabicPeriod"/>
                          </a:pPr>
                          <a:r>
                            <a:rPr lang="en-US" sz="3200" dirty="0" smtClean="0">
                              <a:solidFill>
                                <a:schemeClr val="bg1"/>
                              </a:solidFill>
                            </a:rPr>
                            <a:t> Education encouraging early connection to services for mild cognitive impairment</a:t>
                          </a:r>
                        </a:p>
                        <a:p>
                          <a:pPr marL="514350" indent="-514350">
                            <a:buAutoNum type="arabicPeriod"/>
                          </a:pPr>
                          <a:r>
                            <a:rPr lang="en-US" sz="3200" dirty="0" smtClean="0">
                              <a:solidFill>
                                <a:schemeClr val="bg1"/>
                              </a:solidFill>
                            </a:rPr>
                            <a:t> Provide telehealth interventions.</a:t>
                          </a:r>
                        </a:p>
                        <a:p>
                          <a:pPr marL="514350" indent="-514350">
                            <a:buAutoNum type="arabicPeriod"/>
                          </a:pPr>
                          <a:r>
                            <a:rPr lang="en-US" sz="3200" dirty="0" smtClean="0">
                              <a:solidFill>
                                <a:schemeClr val="bg1"/>
                              </a:solidFill>
                            </a:rPr>
                            <a:t> Interventions reflective of cultural competency.</a:t>
                          </a:r>
                        </a:p>
                        <a:p>
                          <a:pPr marL="514350" indent="-514350">
                            <a:buAutoNum type="arabicPeriod"/>
                          </a:pPr>
                          <a:r>
                            <a:rPr lang="en-US" sz="3200" dirty="0" smtClean="0">
                              <a:solidFill>
                                <a:schemeClr val="bg1"/>
                              </a:solidFill>
                            </a:rPr>
                            <a:t>Coordinated system of care.</a:t>
                          </a:r>
                        </a:p>
                        <a:p>
                          <a:pPr marL="514350" indent="-514350">
                            <a:buAutoNum type="arabicPeriod"/>
                          </a:pPr>
                          <a:r>
                            <a:rPr lang="en-US" sz="3200" dirty="0" smtClean="0">
                              <a:solidFill>
                                <a:schemeClr val="bg1"/>
                              </a:solidFill>
                            </a:rPr>
                            <a:t>Develop village bases service provision.</a:t>
                          </a:r>
                        </a:p>
                        <a:p>
                          <a:pPr marL="514350" indent="-514350">
                            <a:buAutoNum type="arabicPeriod"/>
                          </a:pPr>
                          <a:r>
                            <a:rPr lang="en-US" sz="3200" dirty="0" smtClean="0">
                              <a:solidFill>
                                <a:schemeClr val="bg1"/>
                              </a:solidFill>
                            </a:rPr>
                            <a:t> Therapeutic optimism.</a:t>
                          </a:r>
                        </a:p>
                        <a:p>
                          <a:pPr marL="514350" indent="-514350">
                            <a:buAutoNum type="arabicPeriod"/>
                          </a:pPr>
                          <a:r>
                            <a:rPr lang="en-US" sz="3200" dirty="0" smtClean="0">
                              <a:solidFill>
                                <a:schemeClr val="bg1"/>
                              </a:solidFill>
                            </a:rPr>
                            <a:t> Outreach from services providers.</a:t>
                          </a:r>
                        </a:p>
                        <a:p>
                          <a:pPr marL="514350" indent="-514350">
                            <a:buAutoNum type="arabicPeriod"/>
                          </a:pPr>
                          <a:r>
                            <a:rPr lang="en-US" sz="3200" dirty="0" smtClean="0">
                              <a:solidFill>
                                <a:schemeClr val="bg1"/>
                              </a:solidFill>
                            </a:rPr>
                            <a:t> Non-pharmacological interventions including exercise, cognitive stimulation, increased socialization, optimizing nutrition, and addressing polypharmacy.</a:t>
                          </a:r>
                        </a:p>
                        <a:p>
                          <a:pPr marL="514350" indent="-514350">
                            <a:buAutoNum type="arabicPeriod"/>
                          </a:pPr>
                          <a:r>
                            <a:rPr lang="en-US" sz="3200" dirty="0" smtClean="0">
                              <a:solidFill>
                                <a:schemeClr val="bg1"/>
                              </a:solidFill>
                            </a:rPr>
                            <a:t>  Full spectrum lighting in home and residential facilities</a:t>
                          </a:r>
                        </a:p>
                        <a:p>
                          <a:pPr marL="514350" indent="-514350">
                            <a:buAutoNum type="arabicPeriod"/>
                          </a:pPr>
                          <a:endParaRPr lang="en-US" sz="3200" dirty="0" smtClean="0">
                            <a:solidFill>
                              <a:schemeClr val="bg1"/>
                            </a:solidFill>
                          </a:endParaRPr>
                        </a:p>
                        <a:p>
                          <a:pPr marL="514350" indent="-514350">
                            <a:buAutoNum type="arabicPeriod"/>
                          </a:pPr>
                          <a:endParaRPr lang="en-US" sz="3200" dirty="0">
                            <a:solidFill>
                              <a:schemeClr val="bg1"/>
                            </a:solidFill>
                          </a:endParaRPr>
                        </a:p>
                      </a:txBody>
                      <a:useSpRect/>
                    </a:txSp>
                  </a:sp>
                  <a:sp>
                    <a:nvSpPr>
                      <a:cNvPr id="33" name="Text Placeholder 32"/>
                      <a:cNvSpPr>
                        <a:spLocks noGrp="1"/>
                      </a:cNvSpPr>
                    </a:nvSpPr>
                    <a:spPr>
                      <a:xfrm>
                        <a:off x="26462419" y="90100"/>
                        <a:ext cx="8274926" cy="712277"/>
                      </a:xfrm>
                      <a:prstGeom prst="rect">
                        <a:avLst/>
                      </a:prstGeom>
                      <a:solidFill>
                        <a:schemeClr val="accent5">
                          <a:lumMod val="50000"/>
                        </a:schemeClr>
                      </a:solidFill>
                    </a:spPr>
                    <a:txSp>
                      <a:txBody>
                        <a:bodyPr wrap="square" lIns="78374" tIns="78374" rIns="78374" bIns="78374" anchor="ctr" anchorCtr="0">
                          <a:spAutoFit/>
                        </a:bodyPr>
                        <a:lstStyle>
                          <a:lvl1pPr marL="1410719" indent="-1410719" algn="ctr" defTabSz="3761915" rtl="0" eaLnBrk="1" latinLnBrk="0" hangingPunct="1">
                            <a:spcBef>
                              <a:spcPct val="20000"/>
                            </a:spcBef>
                            <a:buFont typeface="Arial" pitchFamily="34" charset="0"/>
                            <a:buNone/>
                            <a:defRPr sz="2800" b="1" kern="1200" baseline="0">
                              <a:solidFill>
                                <a:schemeClr val="bg1"/>
                              </a:solidFill>
                              <a:latin typeface="+mn-lt"/>
                              <a:ea typeface="+mn-ea"/>
                              <a:cs typeface="+mn-cs"/>
                            </a:defRPr>
                          </a:lvl1pPr>
                          <a:lvl2pPr marL="3056556" indent="-1175598" algn="l" defTabSz="3761915" rtl="0" eaLnBrk="1" latinLnBrk="0" hangingPunct="1">
                            <a:spcBef>
                              <a:spcPct val="20000"/>
                            </a:spcBef>
                            <a:buFont typeface="Arial" pitchFamily="34" charset="0"/>
                            <a:buChar char="–"/>
                            <a:defRPr sz="11600" kern="1200">
                              <a:solidFill>
                                <a:schemeClr val="tx1"/>
                              </a:solidFill>
                              <a:latin typeface="+mn-lt"/>
                              <a:ea typeface="+mn-ea"/>
                              <a:cs typeface="+mn-cs"/>
                            </a:defRPr>
                          </a:lvl2pPr>
                          <a:lvl3pPr marL="4702394" indent="-940479" algn="l" defTabSz="3761915" rtl="0" eaLnBrk="1" latinLnBrk="0" hangingPunct="1">
                            <a:spcBef>
                              <a:spcPct val="20000"/>
                            </a:spcBef>
                            <a:buFont typeface="Arial" pitchFamily="34" charset="0"/>
                            <a:buChar char="•"/>
                            <a:defRPr sz="9900" kern="1200">
                              <a:solidFill>
                                <a:schemeClr val="tx1"/>
                              </a:solidFill>
                              <a:latin typeface="+mn-lt"/>
                              <a:ea typeface="+mn-ea"/>
                              <a:cs typeface="+mn-cs"/>
                            </a:defRPr>
                          </a:lvl3pPr>
                          <a:lvl4pPr marL="6583352"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4pPr>
                          <a:lvl5pPr marL="8464308"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r>
                            <a:rPr lang="en-US" sz="3600" dirty="0" smtClean="0"/>
                            <a:t>Care Coordination Solutions</a:t>
                          </a:r>
                          <a:endParaRPr lang="en-US" sz="3600" dirty="0"/>
                        </a:p>
                      </a:txBody>
                      <a:useSpRect/>
                    </a:txSp>
                  </a:sp>
                  <a:sp>
                    <a:nvSpPr>
                      <a:cNvPr id="34" name="Text Placeholder 33"/>
                      <a:cNvSpPr>
                        <a:spLocks noGrp="1"/>
                      </a:cNvSpPr>
                    </a:nvSpPr>
                    <a:spPr>
                      <a:xfrm>
                        <a:off x="-8709997" y="8318480"/>
                        <a:ext cx="8290965" cy="589166"/>
                      </a:xfrm>
                      <a:prstGeom prst="rect">
                        <a:avLst/>
                      </a:prstGeom>
                      <a:solidFill>
                        <a:schemeClr val="accent5">
                          <a:lumMod val="50000"/>
                        </a:schemeClr>
                      </a:solidFill>
                    </a:spPr>
                    <a:txSp>
                      <a:txBody>
                        <a:bodyPr wrap="square" lIns="78374" tIns="78374" rIns="78374" bIns="78374" anchor="ctr" anchorCtr="0">
                          <a:spAutoFit/>
                        </a:bodyPr>
                        <a:lstStyle>
                          <a:lvl1pPr marL="1410719" indent="-1410719" algn="ctr" defTabSz="3761915" rtl="0" eaLnBrk="1" latinLnBrk="0" hangingPunct="1">
                            <a:spcBef>
                              <a:spcPct val="20000"/>
                            </a:spcBef>
                            <a:buFont typeface="Arial" pitchFamily="34" charset="0"/>
                            <a:buNone/>
                            <a:defRPr sz="2800" b="1" kern="1200" baseline="0">
                              <a:solidFill>
                                <a:schemeClr val="bg1"/>
                              </a:solidFill>
                              <a:latin typeface="+mn-lt"/>
                              <a:ea typeface="+mn-ea"/>
                              <a:cs typeface="+mn-cs"/>
                            </a:defRPr>
                          </a:lvl1pPr>
                          <a:lvl2pPr marL="3056556" indent="-1175598" algn="l" defTabSz="3761915" rtl="0" eaLnBrk="1" latinLnBrk="0" hangingPunct="1">
                            <a:spcBef>
                              <a:spcPct val="20000"/>
                            </a:spcBef>
                            <a:buFont typeface="Arial" pitchFamily="34" charset="0"/>
                            <a:buChar char="–"/>
                            <a:defRPr sz="11600" kern="1200">
                              <a:solidFill>
                                <a:schemeClr val="tx1"/>
                              </a:solidFill>
                              <a:latin typeface="+mn-lt"/>
                              <a:ea typeface="+mn-ea"/>
                              <a:cs typeface="+mn-cs"/>
                            </a:defRPr>
                          </a:lvl2pPr>
                          <a:lvl3pPr marL="4702394" indent="-940479" algn="l" defTabSz="3761915" rtl="0" eaLnBrk="1" latinLnBrk="0" hangingPunct="1">
                            <a:spcBef>
                              <a:spcPct val="20000"/>
                            </a:spcBef>
                            <a:buFont typeface="Arial" pitchFamily="34" charset="0"/>
                            <a:buChar char="•"/>
                            <a:defRPr sz="9900" kern="1200">
                              <a:solidFill>
                                <a:schemeClr val="tx1"/>
                              </a:solidFill>
                              <a:latin typeface="+mn-lt"/>
                              <a:ea typeface="+mn-ea"/>
                              <a:cs typeface="+mn-cs"/>
                            </a:defRPr>
                          </a:lvl3pPr>
                          <a:lvl4pPr marL="6583352"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4pPr>
                          <a:lvl5pPr marL="8464308"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a:p>
                      </a:txBody>
                      <a:useSpRect/>
                    </a:txSp>
                  </a:sp>
                  <a:sp>
                    <a:nvSpPr>
                      <a:cNvPr id="35" name="Text Placeholder 34"/>
                      <a:cNvSpPr>
                        <a:spLocks noGrp="1"/>
                      </a:cNvSpPr>
                    </a:nvSpPr>
                    <a:spPr>
                      <a:xfrm>
                        <a:off x="-8709997" y="8318480"/>
                        <a:ext cx="8290965" cy="589166"/>
                      </a:xfrm>
                      <a:prstGeom prst="rect">
                        <a:avLst/>
                      </a:prstGeom>
                      <a:solidFill>
                        <a:schemeClr val="accent5">
                          <a:lumMod val="50000"/>
                        </a:schemeClr>
                      </a:solidFill>
                    </a:spPr>
                    <a:txSp>
                      <a:txBody>
                        <a:bodyPr wrap="square" lIns="78374" tIns="78374" rIns="78374" bIns="78374" anchor="ctr" anchorCtr="0">
                          <a:spAutoFit/>
                        </a:bodyPr>
                        <a:lstStyle>
                          <a:lvl1pPr marL="1410719" indent="-1410719" algn="ctr" defTabSz="3761915" rtl="0" eaLnBrk="1" latinLnBrk="0" hangingPunct="1">
                            <a:spcBef>
                              <a:spcPct val="20000"/>
                            </a:spcBef>
                            <a:buFont typeface="Arial" pitchFamily="34" charset="0"/>
                            <a:buNone/>
                            <a:defRPr sz="2800" b="1" kern="1200" baseline="0">
                              <a:solidFill>
                                <a:schemeClr val="bg1"/>
                              </a:solidFill>
                              <a:latin typeface="+mn-lt"/>
                              <a:ea typeface="+mn-ea"/>
                              <a:cs typeface="+mn-cs"/>
                            </a:defRPr>
                          </a:lvl1pPr>
                          <a:lvl2pPr marL="3056556" indent="-1175598" algn="l" defTabSz="3761915" rtl="0" eaLnBrk="1" latinLnBrk="0" hangingPunct="1">
                            <a:spcBef>
                              <a:spcPct val="20000"/>
                            </a:spcBef>
                            <a:buFont typeface="Arial" pitchFamily="34" charset="0"/>
                            <a:buChar char="–"/>
                            <a:defRPr sz="11600" kern="1200">
                              <a:solidFill>
                                <a:schemeClr val="tx1"/>
                              </a:solidFill>
                              <a:latin typeface="+mn-lt"/>
                              <a:ea typeface="+mn-ea"/>
                              <a:cs typeface="+mn-cs"/>
                            </a:defRPr>
                          </a:lvl2pPr>
                          <a:lvl3pPr marL="4702394" indent="-940479" algn="l" defTabSz="3761915" rtl="0" eaLnBrk="1" latinLnBrk="0" hangingPunct="1">
                            <a:spcBef>
                              <a:spcPct val="20000"/>
                            </a:spcBef>
                            <a:buFont typeface="Arial" pitchFamily="34" charset="0"/>
                            <a:buChar char="•"/>
                            <a:defRPr sz="9900" kern="1200">
                              <a:solidFill>
                                <a:schemeClr val="tx1"/>
                              </a:solidFill>
                              <a:latin typeface="+mn-lt"/>
                              <a:ea typeface="+mn-ea"/>
                              <a:cs typeface="+mn-cs"/>
                            </a:defRPr>
                          </a:lvl3pPr>
                          <a:lvl4pPr marL="6583352"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4pPr>
                          <a:lvl5pPr marL="8464308"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a:p>
                      </a:txBody>
                      <a:useSpRect/>
                    </a:txSp>
                  </a:sp>
                  <a:sp>
                    <a:nvSpPr>
                      <a:cNvPr id="36" name="Text Placeholder 35"/>
                      <a:cNvSpPr>
                        <a:spLocks noGrp="1"/>
                      </a:cNvSpPr>
                    </a:nvSpPr>
                    <a:spPr>
                      <a:xfrm>
                        <a:off x="-8709997" y="8318480"/>
                        <a:ext cx="8290965" cy="589166"/>
                      </a:xfrm>
                      <a:prstGeom prst="rect">
                        <a:avLst/>
                      </a:prstGeom>
                      <a:solidFill>
                        <a:schemeClr val="accent5">
                          <a:lumMod val="50000"/>
                        </a:schemeClr>
                      </a:solidFill>
                    </a:spPr>
                    <a:txSp>
                      <a:txBody>
                        <a:bodyPr wrap="square" lIns="78374" tIns="78374" rIns="78374" bIns="78374" anchor="ctr" anchorCtr="0">
                          <a:spAutoFit/>
                        </a:bodyPr>
                        <a:lstStyle>
                          <a:lvl1pPr marL="1410719" indent="-1410719" algn="ctr" defTabSz="3761915" rtl="0" eaLnBrk="1" latinLnBrk="0" hangingPunct="1">
                            <a:spcBef>
                              <a:spcPct val="20000"/>
                            </a:spcBef>
                            <a:buFont typeface="Arial" pitchFamily="34" charset="0"/>
                            <a:buNone/>
                            <a:defRPr sz="2800" b="1" kern="1200" baseline="0">
                              <a:solidFill>
                                <a:schemeClr val="bg1"/>
                              </a:solidFill>
                              <a:latin typeface="+mn-lt"/>
                              <a:ea typeface="+mn-ea"/>
                              <a:cs typeface="+mn-cs"/>
                            </a:defRPr>
                          </a:lvl1pPr>
                          <a:lvl2pPr marL="3056556" indent="-1175598" algn="l" defTabSz="3761915" rtl="0" eaLnBrk="1" latinLnBrk="0" hangingPunct="1">
                            <a:spcBef>
                              <a:spcPct val="20000"/>
                            </a:spcBef>
                            <a:buFont typeface="Arial" pitchFamily="34" charset="0"/>
                            <a:buChar char="–"/>
                            <a:defRPr sz="11600" kern="1200">
                              <a:solidFill>
                                <a:schemeClr val="tx1"/>
                              </a:solidFill>
                              <a:latin typeface="+mn-lt"/>
                              <a:ea typeface="+mn-ea"/>
                              <a:cs typeface="+mn-cs"/>
                            </a:defRPr>
                          </a:lvl2pPr>
                          <a:lvl3pPr marL="4702394" indent="-940479" algn="l" defTabSz="3761915" rtl="0" eaLnBrk="1" latinLnBrk="0" hangingPunct="1">
                            <a:spcBef>
                              <a:spcPct val="20000"/>
                            </a:spcBef>
                            <a:buFont typeface="Arial" pitchFamily="34" charset="0"/>
                            <a:buChar char="•"/>
                            <a:defRPr sz="9900" kern="1200">
                              <a:solidFill>
                                <a:schemeClr val="tx1"/>
                              </a:solidFill>
                              <a:latin typeface="+mn-lt"/>
                              <a:ea typeface="+mn-ea"/>
                              <a:cs typeface="+mn-cs"/>
                            </a:defRPr>
                          </a:lvl3pPr>
                          <a:lvl4pPr marL="6583352"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4pPr>
                          <a:lvl5pPr marL="8464308"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a:p>
                      </a:txBody>
                      <a:useSpRect/>
                    </a:txSp>
                  </a:sp>
                  <a:sp>
                    <a:nvSpPr>
                      <a:cNvPr id="37" name="Text Placeholder 36"/>
                      <a:cNvSpPr>
                        <a:spLocks noGrp="1"/>
                      </a:cNvSpPr>
                    </a:nvSpPr>
                    <a:spPr>
                      <a:xfrm>
                        <a:off x="-8709997" y="8318480"/>
                        <a:ext cx="8290965" cy="589166"/>
                      </a:xfrm>
                      <a:prstGeom prst="rect">
                        <a:avLst/>
                      </a:prstGeom>
                      <a:solidFill>
                        <a:schemeClr val="accent5">
                          <a:lumMod val="50000"/>
                        </a:schemeClr>
                      </a:solidFill>
                    </a:spPr>
                    <a:txSp>
                      <a:txBody>
                        <a:bodyPr wrap="square" lIns="78374" tIns="78374" rIns="78374" bIns="78374" anchor="ctr" anchorCtr="0">
                          <a:spAutoFit/>
                        </a:bodyPr>
                        <a:lstStyle>
                          <a:lvl1pPr marL="1410719" indent="-1410719" algn="ctr" defTabSz="3761915" rtl="0" eaLnBrk="1" latinLnBrk="0" hangingPunct="1">
                            <a:spcBef>
                              <a:spcPct val="20000"/>
                            </a:spcBef>
                            <a:buFont typeface="Arial" pitchFamily="34" charset="0"/>
                            <a:buNone/>
                            <a:defRPr sz="2800" b="1" kern="1200" baseline="0">
                              <a:solidFill>
                                <a:schemeClr val="bg1"/>
                              </a:solidFill>
                              <a:latin typeface="+mn-lt"/>
                              <a:ea typeface="+mn-ea"/>
                              <a:cs typeface="+mn-cs"/>
                            </a:defRPr>
                          </a:lvl1pPr>
                          <a:lvl2pPr marL="3056556" indent="-1175598" algn="l" defTabSz="3761915" rtl="0" eaLnBrk="1" latinLnBrk="0" hangingPunct="1">
                            <a:spcBef>
                              <a:spcPct val="20000"/>
                            </a:spcBef>
                            <a:buFont typeface="Arial" pitchFamily="34" charset="0"/>
                            <a:buChar char="–"/>
                            <a:defRPr sz="11600" kern="1200">
                              <a:solidFill>
                                <a:schemeClr val="tx1"/>
                              </a:solidFill>
                              <a:latin typeface="+mn-lt"/>
                              <a:ea typeface="+mn-ea"/>
                              <a:cs typeface="+mn-cs"/>
                            </a:defRPr>
                          </a:lvl2pPr>
                          <a:lvl3pPr marL="4702394" indent="-940479" algn="l" defTabSz="3761915" rtl="0" eaLnBrk="1" latinLnBrk="0" hangingPunct="1">
                            <a:spcBef>
                              <a:spcPct val="20000"/>
                            </a:spcBef>
                            <a:buFont typeface="Arial" pitchFamily="34" charset="0"/>
                            <a:buChar char="•"/>
                            <a:defRPr sz="9900" kern="1200">
                              <a:solidFill>
                                <a:schemeClr val="tx1"/>
                              </a:solidFill>
                              <a:latin typeface="+mn-lt"/>
                              <a:ea typeface="+mn-ea"/>
                              <a:cs typeface="+mn-cs"/>
                            </a:defRPr>
                          </a:lvl3pPr>
                          <a:lvl4pPr marL="6583352"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4pPr>
                          <a:lvl5pPr marL="8464308"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a:p>
                      </a:txBody>
                      <a:useSpRect/>
                    </a:txSp>
                  </a:sp>
                  <a:sp>
                    <a:nvSpPr>
                      <a:cNvPr id="38" name="Text Placeholder 37"/>
                      <a:cNvSpPr>
                        <a:spLocks noGrp="1"/>
                      </a:cNvSpPr>
                    </a:nvSpPr>
                    <a:spPr>
                      <a:xfrm>
                        <a:off x="-8709997" y="8318480"/>
                        <a:ext cx="8290965" cy="589166"/>
                      </a:xfrm>
                      <a:prstGeom prst="rect">
                        <a:avLst/>
                      </a:prstGeom>
                      <a:solidFill>
                        <a:schemeClr val="accent5">
                          <a:lumMod val="50000"/>
                        </a:schemeClr>
                      </a:solidFill>
                    </a:spPr>
                    <a:txSp>
                      <a:txBody>
                        <a:bodyPr wrap="square" lIns="78374" tIns="78374" rIns="78374" bIns="78374" anchor="ctr" anchorCtr="0">
                          <a:spAutoFit/>
                        </a:bodyPr>
                        <a:lstStyle>
                          <a:lvl1pPr marL="1410719" indent="-1410719" algn="ctr" defTabSz="3761915" rtl="0" eaLnBrk="1" latinLnBrk="0" hangingPunct="1">
                            <a:spcBef>
                              <a:spcPct val="20000"/>
                            </a:spcBef>
                            <a:buFont typeface="Arial" pitchFamily="34" charset="0"/>
                            <a:buNone/>
                            <a:defRPr sz="2800" b="1" kern="1200" baseline="0">
                              <a:solidFill>
                                <a:schemeClr val="bg1"/>
                              </a:solidFill>
                              <a:latin typeface="+mn-lt"/>
                              <a:ea typeface="+mn-ea"/>
                              <a:cs typeface="+mn-cs"/>
                            </a:defRPr>
                          </a:lvl1pPr>
                          <a:lvl2pPr marL="3056556" indent="-1175598" algn="l" defTabSz="3761915" rtl="0" eaLnBrk="1" latinLnBrk="0" hangingPunct="1">
                            <a:spcBef>
                              <a:spcPct val="20000"/>
                            </a:spcBef>
                            <a:buFont typeface="Arial" pitchFamily="34" charset="0"/>
                            <a:buChar char="–"/>
                            <a:defRPr sz="11600" kern="1200">
                              <a:solidFill>
                                <a:schemeClr val="tx1"/>
                              </a:solidFill>
                              <a:latin typeface="+mn-lt"/>
                              <a:ea typeface="+mn-ea"/>
                              <a:cs typeface="+mn-cs"/>
                            </a:defRPr>
                          </a:lvl2pPr>
                          <a:lvl3pPr marL="4702394" indent="-940479" algn="l" defTabSz="3761915" rtl="0" eaLnBrk="1" latinLnBrk="0" hangingPunct="1">
                            <a:spcBef>
                              <a:spcPct val="20000"/>
                            </a:spcBef>
                            <a:buFont typeface="Arial" pitchFamily="34" charset="0"/>
                            <a:buChar char="•"/>
                            <a:defRPr sz="9900" kern="1200">
                              <a:solidFill>
                                <a:schemeClr val="tx1"/>
                              </a:solidFill>
                              <a:latin typeface="+mn-lt"/>
                              <a:ea typeface="+mn-ea"/>
                              <a:cs typeface="+mn-cs"/>
                            </a:defRPr>
                          </a:lvl3pPr>
                          <a:lvl4pPr marL="6583352"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4pPr>
                          <a:lvl5pPr marL="8464308"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a:p>
                      </a:txBody>
                      <a:useSpRect/>
                    </a:txSp>
                  </a:sp>
                  <a:sp>
                    <a:nvSpPr>
                      <a:cNvPr id="39" name="Text Placeholder 38"/>
                      <a:cNvSpPr>
                        <a:spLocks noGrp="1"/>
                      </a:cNvSpPr>
                    </a:nvSpPr>
                    <a:spPr>
                      <a:xfrm>
                        <a:off x="-8709997" y="8318480"/>
                        <a:ext cx="8290965" cy="589166"/>
                      </a:xfrm>
                      <a:prstGeom prst="rect">
                        <a:avLst/>
                      </a:prstGeom>
                      <a:solidFill>
                        <a:schemeClr val="accent5">
                          <a:lumMod val="50000"/>
                        </a:schemeClr>
                      </a:solidFill>
                    </a:spPr>
                    <a:txSp>
                      <a:txBody>
                        <a:bodyPr wrap="square" lIns="78374" tIns="78374" rIns="78374" bIns="78374" anchor="ctr" anchorCtr="0">
                          <a:spAutoFit/>
                        </a:bodyPr>
                        <a:lstStyle>
                          <a:lvl1pPr marL="1410719" indent="-1410719" algn="ctr" defTabSz="3761915" rtl="0" eaLnBrk="1" latinLnBrk="0" hangingPunct="1">
                            <a:spcBef>
                              <a:spcPct val="20000"/>
                            </a:spcBef>
                            <a:buFont typeface="Arial" pitchFamily="34" charset="0"/>
                            <a:buNone/>
                            <a:defRPr sz="2800" b="1" kern="1200" baseline="0">
                              <a:solidFill>
                                <a:schemeClr val="bg1"/>
                              </a:solidFill>
                              <a:latin typeface="+mn-lt"/>
                              <a:ea typeface="+mn-ea"/>
                              <a:cs typeface="+mn-cs"/>
                            </a:defRPr>
                          </a:lvl1pPr>
                          <a:lvl2pPr marL="3056556" indent="-1175598" algn="l" defTabSz="3761915" rtl="0" eaLnBrk="1" latinLnBrk="0" hangingPunct="1">
                            <a:spcBef>
                              <a:spcPct val="20000"/>
                            </a:spcBef>
                            <a:buFont typeface="Arial" pitchFamily="34" charset="0"/>
                            <a:buChar char="–"/>
                            <a:defRPr sz="11600" kern="1200">
                              <a:solidFill>
                                <a:schemeClr val="tx1"/>
                              </a:solidFill>
                              <a:latin typeface="+mn-lt"/>
                              <a:ea typeface="+mn-ea"/>
                              <a:cs typeface="+mn-cs"/>
                            </a:defRPr>
                          </a:lvl2pPr>
                          <a:lvl3pPr marL="4702394" indent="-940479" algn="l" defTabSz="3761915" rtl="0" eaLnBrk="1" latinLnBrk="0" hangingPunct="1">
                            <a:spcBef>
                              <a:spcPct val="20000"/>
                            </a:spcBef>
                            <a:buFont typeface="Arial" pitchFamily="34" charset="0"/>
                            <a:buChar char="•"/>
                            <a:defRPr sz="9900" kern="1200">
                              <a:solidFill>
                                <a:schemeClr val="tx1"/>
                              </a:solidFill>
                              <a:latin typeface="+mn-lt"/>
                              <a:ea typeface="+mn-ea"/>
                              <a:cs typeface="+mn-cs"/>
                            </a:defRPr>
                          </a:lvl3pPr>
                          <a:lvl4pPr marL="6583352"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4pPr>
                          <a:lvl5pPr marL="8464308"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a:p>
                      </a:txBody>
                      <a:useSpRect/>
                    </a:txSp>
                  </a:sp>
                  <a:sp>
                    <a:nvSpPr>
                      <a:cNvPr id="40" name="Text Placeholder 39"/>
                      <a:cNvSpPr>
                        <a:spLocks noGrp="1"/>
                      </a:cNvSpPr>
                    </a:nvSpPr>
                    <a:spPr>
                      <a:xfrm>
                        <a:off x="-8709997" y="8318480"/>
                        <a:ext cx="8290965" cy="589166"/>
                      </a:xfrm>
                      <a:prstGeom prst="rect">
                        <a:avLst/>
                      </a:prstGeom>
                      <a:solidFill>
                        <a:schemeClr val="accent5">
                          <a:lumMod val="50000"/>
                        </a:schemeClr>
                      </a:solidFill>
                    </a:spPr>
                    <a:txSp>
                      <a:txBody>
                        <a:bodyPr wrap="square" lIns="78374" tIns="78374" rIns="78374" bIns="78374" anchor="ctr" anchorCtr="0">
                          <a:spAutoFit/>
                        </a:bodyPr>
                        <a:lstStyle>
                          <a:lvl1pPr marL="1410719" indent="-1410719" algn="ctr" defTabSz="3761915" rtl="0" eaLnBrk="1" latinLnBrk="0" hangingPunct="1">
                            <a:spcBef>
                              <a:spcPct val="20000"/>
                            </a:spcBef>
                            <a:buFont typeface="Arial" pitchFamily="34" charset="0"/>
                            <a:buNone/>
                            <a:defRPr sz="2800" b="1" kern="1200" baseline="0">
                              <a:solidFill>
                                <a:schemeClr val="bg1"/>
                              </a:solidFill>
                              <a:latin typeface="+mn-lt"/>
                              <a:ea typeface="+mn-ea"/>
                              <a:cs typeface="+mn-cs"/>
                            </a:defRPr>
                          </a:lvl1pPr>
                          <a:lvl2pPr marL="3056556" indent="-1175598" algn="l" defTabSz="3761915" rtl="0" eaLnBrk="1" latinLnBrk="0" hangingPunct="1">
                            <a:spcBef>
                              <a:spcPct val="20000"/>
                            </a:spcBef>
                            <a:buFont typeface="Arial" pitchFamily="34" charset="0"/>
                            <a:buChar char="–"/>
                            <a:defRPr sz="11600" kern="1200">
                              <a:solidFill>
                                <a:schemeClr val="tx1"/>
                              </a:solidFill>
                              <a:latin typeface="+mn-lt"/>
                              <a:ea typeface="+mn-ea"/>
                              <a:cs typeface="+mn-cs"/>
                            </a:defRPr>
                          </a:lvl2pPr>
                          <a:lvl3pPr marL="4702394" indent="-940479" algn="l" defTabSz="3761915" rtl="0" eaLnBrk="1" latinLnBrk="0" hangingPunct="1">
                            <a:spcBef>
                              <a:spcPct val="20000"/>
                            </a:spcBef>
                            <a:buFont typeface="Arial" pitchFamily="34" charset="0"/>
                            <a:buChar char="•"/>
                            <a:defRPr sz="9900" kern="1200">
                              <a:solidFill>
                                <a:schemeClr val="tx1"/>
                              </a:solidFill>
                              <a:latin typeface="+mn-lt"/>
                              <a:ea typeface="+mn-ea"/>
                              <a:cs typeface="+mn-cs"/>
                            </a:defRPr>
                          </a:lvl3pPr>
                          <a:lvl4pPr marL="6583352"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4pPr>
                          <a:lvl5pPr marL="8464308"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a:p>
                      </a:txBody>
                      <a:useSpRect/>
                    </a:txSp>
                  </a:sp>
                  <a:sp>
                    <a:nvSpPr>
                      <a:cNvPr id="41" name="Text Placeholder 40"/>
                      <a:cNvSpPr>
                        <a:spLocks noGrp="1"/>
                      </a:cNvSpPr>
                    </a:nvSpPr>
                    <a:spPr>
                      <a:xfrm>
                        <a:off x="-8709997" y="8318480"/>
                        <a:ext cx="8290965" cy="589166"/>
                      </a:xfrm>
                      <a:prstGeom prst="rect">
                        <a:avLst/>
                      </a:prstGeom>
                      <a:solidFill>
                        <a:schemeClr val="accent5">
                          <a:lumMod val="50000"/>
                        </a:schemeClr>
                      </a:solidFill>
                    </a:spPr>
                    <a:txSp>
                      <a:txBody>
                        <a:bodyPr wrap="square" lIns="78374" tIns="78374" rIns="78374" bIns="78374" anchor="ctr" anchorCtr="0">
                          <a:spAutoFit/>
                        </a:bodyPr>
                        <a:lstStyle>
                          <a:lvl1pPr marL="1410719" indent="-1410719" algn="ctr" defTabSz="3761915" rtl="0" eaLnBrk="1" latinLnBrk="0" hangingPunct="1">
                            <a:spcBef>
                              <a:spcPct val="20000"/>
                            </a:spcBef>
                            <a:buFont typeface="Arial" pitchFamily="34" charset="0"/>
                            <a:buNone/>
                            <a:defRPr sz="2800" b="1" kern="1200" baseline="0">
                              <a:solidFill>
                                <a:schemeClr val="bg1"/>
                              </a:solidFill>
                              <a:latin typeface="+mn-lt"/>
                              <a:ea typeface="+mn-ea"/>
                              <a:cs typeface="+mn-cs"/>
                            </a:defRPr>
                          </a:lvl1pPr>
                          <a:lvl2pPr marL="3056556" indent="-1175598" algn="l" defTabSz="3761915" rtl="0" eaLnBrk="1" latinLnBrk="0" hangingPunct="1">
                            <a:spcBef>
                              <a:spcPct val="20000"/>
                            </a:spcBef>
                            <a:buFont typeface="Arial" pitchFamily="34" charset="0"/>
                            <a:buChar char="–"/>
                            <a:defRPr sz="11600" kern="1200">
                              <a:solidFill>
                                <a:schemeClr val="tx1"/>
                              </a:solidFill>
                              <a:latin typeface="+mn-lt"/>
                              <a:ea typeface="+mn-ea"/>
                              <a:cs typeface="+mn-cs"/>
                            </a:defRPr>
                          </a:lvl2pPr>
                          <a:lvl3pPr marL="4702394" indent="-940479" algn="l" defTabSz="3761915" rtl="0" eaLnBrk="1" latinLnBrk="0" hangingPunct="1">
                            <a:spcBef>
                              <a:spcPct val="20000"/>
                            </a:spcBef>
                            <a:buFont typeface="Arial" pitchFamily="34" charset="0"/>
                            <a:buChar char="•"/>
                            <a:defRPr sz="9900" kern="1200">
                              <a:solidFill>
                                <a:schemeClr val="tx1"/>
                              </a:solidFill>
                              <a:latin typeface="+mn-lt"/>
                              <a:ea typeface="+mn-ea"/>
                              <a:cs typeface="+mn-cs"/>
                            </a:defRPr>
                          </a:lvl3pPr>
                          <a:lvl4pPr marL="6583352"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4pPr>
                          <a:lvl5pPr marL="8464308"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a:p>
                      </a:txBody>
                      <a:useSpRect/>
                    </a:txSp>
                  </a:sp>
                  <a:sp>
                    <a:nvSpPr>
                      <a:cNvPr id="42" name="Text Placeholder 41"/>
                      <a:cNvSpPr>
                        <a:spLocks noGrp="1"/>
                      </a:cNvSpPr>
                    </a:nvSpPr>
                    <a:spPr>
                      <a:xfrm>
                        <a:off x="-8709997" y="7887594"/>
                        <a:ext cx="8290965" cy="1450940"/>
                      </a:xfrm>
                      <a:prstGeom prst="rect">
                        <a:avLst/>
                      </a:prstGeom>
                      <a:solidFill>
                        <a:schemeClr val="accent5">
                          <a:lumMod val="50000"/>
                        </a:schemeClr>
                      </a:solidFill>
                    </a:spPr>
                    <a:txSp>
                      <a:txBody>
                        <a:bodyPr wrap="square" lIns="78374" tIns="78374" rIns="78374" bIns="78374" anchor="ctr" anchorCtr="0">
                          <a:spAutoFit/>
                        </a:bodyPr>
                        <a:lstStyle>
                          <a:lvl1pPr marL="1410719" indent="-1410719" algn="ctr" defTabSz="3761915" rtl="0" eaLnBrk="1" latinLnBrk="0" hangingPunct="1">
                            <a:spcBef>
                              <a:spcPct val="20000"/>
                            </a:spcBef>
                            <a:buFont typeface="Arial" pitchFamily="34" charset="0"/>
                            <a:buNone/>
                            <a:defRPr sz="2800" b="1" kern="1200" baseline="0">
                              <a:solidFill>
                                <a:schemeClr val="bg1"/>
                              </a:solidFill>
                              <a:latin typeface="+mn-lt"/>
                              <a:ea typeface="+mn-ea"/>
                              <a:cs typeface="+mn-cs"/>
                            </a:defRPr>
                          </a:lvl1pPr>
                          <a:lvl2pPr marL="3056556" indent="-1175598" algn="l" defTabSz="3761915" rtl="0" eaLnBrk="1" latinLnBrk="0" hangingPunct="1">
                            <a:spcBef>
                              <a:spcPct val="20000"/>
                            </a:spcBef>
                            <a:buFont typeface="Arial" pitchFamily="34" charset="0"/>
                            <a:buChar char="–"/>
                            <a:defRPr sz="11600" kern="1200">
                              <a:solidFill>
                                <a:schemeClr val="tx1"/>
                              </a:solidFill>
                              <a:latin typeface="+mn-lt"/>
                              <a:ea typeface="+mn-ea"/>
                              <a:cs typeface="+mn-cs"/>
                            </a:defRPr>
                          </a:lvl2pPr>
                          <a:lvl3pPr marL="4702394" indent="-940479" algn="l" defTabSz="3761915" rtl="0" eaLnBrk="1" latinLnBrk="0" hangingPunct="1">
                            <a:spcBef>
                              <a:spcPct val="20000"/>
                            </a:spcBef>
                            <a:buFont typeface="Arial" pitchFamily="34" charset="0"/>
                            <a:buChar char="•"/>
                            <a:defRPr sz="9900" kern="1200">
                              <a:solidFill>
                                <a:schemeClr val="tx1"/>
                              </a:solidFill>
                              <a:latin typeface="+mn-lt"/>
                              <a:ea typeface="+mn-ea"/>
                              <a:cs typeface="+mn-cs"/>
                            </a:defRPr>
                          </a:lvl3pPr>
                          <a:lvl4pPr marL="6583352"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4pPr>
                          <a:lvl5pPr marL="8464308"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r>
                            <a:rPr lang="en-US" dirty="0" smtClean="0"/>
                            <a:t>This Poster was presented at the International Alzheimer’s Disease Conference in Paris France, July 17-21 2011 </a:t>
                          </a:r>
                          <a:endParaRPr lang="en-US" dirty="0"/>
                        </a:p>
                      </a:txBody>
                      <a:useSpRect/>
                    </a:txSp>
                  </a:sp>
                  <a:sp>
                    <a:nvSpPr>
                      <a:cNvPr id="46" name="Text Placeholder 45"/>
                      <a:cNvSpPr>
                        <a:spLocks noGrp="1"/>
                      </a:cNvSpPr>
                    </a:nvSpPr>
                    <a:spPr>
                      <a:xfrm>
                        <a:off x="-8709997" y="9892862"/>
                        <a:ext cx="8290965" cy="492443"/>
                      </a:xfrm>
                      <a:prstGeom prst="rect">
                        <a:avLst/>
                      </a:prstGeom>
                    </a:spPr>
                    <a:txSp>
                      <a:txBody>
                        <a:bodyPr wrap="square" lIns="91440" tIns="91440" rIns="91440" bIns="91440">
                          <a:spAutoFit/>
                        </a:bodyPr>
                        <a:lstStyle>
                          <a:lvl1pPr marL="0" indent="0" algn="l" defTabSz="3761915" rtl="0" eaLnBrk="1" latinLnBrk="0" hangingPunct="1">
                            <a:spcBef>
                              <a:spcPct val="20000"/>
                            </a:spcBef>
                            <a:buFont typeface="Arial" pitchFamily="34" charset="0"/>
                            <a:buNone/>
                            <a:defRPr sz="2000" kern="1200" baseline="0">
                              <a:solidFill>
                                <a:schemeClr val="tx1"/>
                              </a:solidFill>
                              <a:latin typeface="Trebuchet MS" pitchFamily="34" charset="0"/>
                              <a:ea typeface="+mn-ea"/>
                              <a:cs typeface="+mn-cs"/>
                            </a:defRPr>
                          </a:lvl1pPr>
                          <a:lvl2pPr marL="1273565"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2pPr>
                          <a:lvl3pPr marL="1763397"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3pPr>
                          <a:lvl4pPr marL="2302214" indent="-538817"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4pPr>
                          <a:lvl5pPr marL="2694080" indent="-391866"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a:p>
                      </a:txBody>
                      <a:useSpRect/>
                    </a:txSp>
                  </a:sp>
                  <a:sp>
                    <a:nvSpPr>
                      <a:cNvPr id="47" name="Text Placeholder 46"/>
                      <a:cNvSpPr>
                        <a:spLocks noGrp="1"/>
                      </a:cNvSpPr>
                    </a:nvSpPr>
                    <a:spPr>
                      <a:xfrm>
                        <a:off x="-8709997" y="9892862"/>
                        <a:ext cx="8290965" cy="492443"/>
                      </a:xfrm>
                      <a:prstGeom prst="rect">
                        <a:avLst/>
                      </a:prstGeom>
                    </a:spPr>
                    <a:txSp>
                      <a:txBody>
                        <a:bodyPr wrap="square" lIns="91440" tIns="91440" rIns="91440" bIns="91440">
                          <a:spAutoFit/>
                        </a:bodyPr>
                        <a:lstStyle>
                          <a:lvl1pPr marL="0" indent="0" algn="l" defTabSz="3761915" rtl="0" eaLnBrk="1" latinLnBrk="0" hangingPunct="1">
                            <a:spcBef>
                              <a:spcPct val="20000"/>
                            </a:spcBef>
                            <a:buFont typeface="Arial" pitchFamily="34" charset="0"/>
                            <a:buNone/>
                            <a:defRPr sz="2000" kern="1200" baseline="0">
                              <a:solidFill>
                                <a:schemeClr val="tx1"/>
                              </a:solidFill>
                              <a:latin typeface="Trebuchet MS" pitchFamily="34" charset="0"/>
                              <a:ea typeface="+mn-ea"/>
                              <a:cs typeface="+mn-cs"/>
                            </a:defRPr>
                          </a:lvl1pPr>
                          <a:lvl2pPr marL="1273565"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2pPr>
                          <a:lvl3pPr marL="1763397"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3pPr>
                          <a:lvl4pPr marL="2302214" indent="-538817"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4pPr>
                          <a:lvl5pPr marL="2694080" indent="-391866"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a:p>
                      </a:txBody>
                      <a:useSpRect/>
                    </a:txSp>
                  </a:sp>
                  <a:sp>
                    <a:nvSpPr>
                      <a:cNvPr id="48" name="Text Placeholder 47"/>
                      <a:cNvSpPr>
                        <a:spLocks noGrp="1"/>
                      </a:cNvSpPr>
                    </a:nvSpPr>
                    <a:spPr>
                      <a:xfrm>
                        <a:off x="-8709997" y="9892862"/>
                        <a:ext cx="8290965" cy="492443"/>
                      </a:xfrm>
                      <a:prstGeom prst="rect">
                        <a:avLst/>
                      </a:prstGeom>
                    </a:spPr>
                    <a:txSp>
                      <a:txBody>
                        <a:bodyPr wrap="square" lIns="91440" tIns="91440" rIns="91440" bIns="91440">
                          <a:spAutoFit/>
                        </a:bodyPr>
                        <a:lstStyle>
                          <a:lvl1pPr marL="0" indent="0" algn="l" defTabSz="3761915" rtl="0" eaLnBrk="1" latinLnBrk="0" hangingPunct="1">
                            <a:spcBef>
                              <a:spcPct val="20000"/>
                            </a:spcBef>
                            <a:buFont typeface="Arial" pitchFamily="34" charset="0"/>
                            <a:buNone/>
                            <a:defRPr sz="2000" kern="1200" baseline="0">
                              <a:solidFill>
                                <a:schemeClr val="tx1"/>
                              </a:solidFill>
                              <a:latin typeface="Trebuchet MS" pitchFamily="34" charset="0"/>
                              <a:ea typeface="+mn-ea"/>
                              <a:cs typeface="+mn-cs"/>
                            </a:defRPr>
                          </a:lvl1pPr>
                          <a:lvl2pPr marL="1273565"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2pPr>
                          <a:lvl3pPr marL="1763397"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3pPr>
                          <a:lvl4pPr marL="2302214" indent="-538817"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4pPr>
                          <a:lvl5pPr marL="2694080" indent="-391866"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a:p>
                      </a:txBody>
                      <a:useSpRect/>
                    </a:txSp>
                  </a:sp>
                  <a:sp>
                    <a:nvSpPr>
                      <a:cNvPr id="49" name="Text Placeholder 48"/>
                      <a:cNvSpPr>
                        <a:spLocks noGrp="1"/>
                      </a:cNvSpPr>
                    </a:nvSpPr>
                    <a:spPr>
                      <a:xfrm>
                        <a:off x="-8709997" y="9892862"/>
                        <a:ext cx="8290965" cy="492443"/>
                      </a:xfrm>
                      <a:prstGeom prst="rect">
                        <a:avLst/>
                      </a:prstGeom>
                    </a:spPr>
                    <a:txSp>
                      <a:txBody>
                        <a:bodyPr wrap="square" lIns="91440" tIns="91440" rIns="91440" bIns="91440">
                          <a:spAutoFit/>
                        </a:bodyPr>
                        <a:lstStyle>
                          <a:lvl1pPr marL="0" indent="0" algn="l" defTabSz="3761915" rtl="0" eaLnBrk="1" latinLnBrk="0" hangingPunct="1">
                            <a:spcBef>
                              <a:spcPct val="20000"/>
                            </a:spcBef>
                            <a:buFont typeface="Arial" pitchFamily="34" charset="0"/>
                            <a:buNone/>
                            <a:defRPr sz="2000" kern="1200" baseline="0">
                              <a:solidFill>
                                <a:schemeClr val="tx1"/>
                              </a:solidFill>
                              <a:latin typeface="Trebuchet MS" pitchFamily="34" charset="0"/>
                              <a:ea typeface="+mn-ea"/>
                              <a:cs typeface="+mn-cs"/>
                            </a:defRPr>
                          </a:lvl1pPr>
                          <a:lvl2pPr marL="1273565"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2pPr>
                          <a:lvl3pPr marL="1763397"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3pPr>
                          <a:lvl4pPr marL="2302214" indent="-538817"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4pPr>
                          <a:lvl5pPr marL="2694080" indent="-391866"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a:p>
                      </a:txBody>
                      <a:useSpRect/>
                    </a:txSp>
                  </a:sp>
                  <a:sp>
                    <a:nvSpPr>
                      <a:cNvPr id="50" name="Text Placeholder 49"/>
                      <a:cNvSpPr>
                        <a:spLocks noGrp="1"/>
                      </a:cNvSpPr>
                    </a:nvSpPr>
                    <a:spPr>
                      <a:xfrm>
                        <a:off x="-8709997" y="9892862"/>
                        <a:ext cx="8290965" cy="492443"/>
                      </a:xfrm>
                      <a:prstGeom prst="rect">
                        <a:avLst/>
                      </a:prstGeom>
                    </a:spPr>
                    <a:txSp>
                      <a:txBody>
                        <a:bodyPr wrap="square" lIns="91440" tIns="91440" rIns="91440" bIns="91440">
                          <a:spAutoFit/>
                        </a:bodyPr>
                        <a:lstStyle>
                          <a:lvl1pPr marL="0" indent="0" algn="l" defTabSz="3761915" rtl="0" eaLnBrk="1" latinLnBrk="0" hangingPunct="1">
                            <a:spcBef>
                              <a:spcPct val="20000"/>
                            </a:spcBef>
                            <a:buFont typeface="Arial" pitchFamily="34" charset="0"/>
                            <a:buNone/>
                            <a:defRPr sz="2000" kern="1200" baseline="0">
                              <a:solidFill>
                                <a:schemeClr val="tx1"/>
                              </a:solidFill>
                              <a:latin typeface="Trebuchet MS" pitchFamily="34" charset="0"/>
                              <a:ea typeface="+mn-ea"/>
                              <a:cs typeface="+mn-cs"/>
                            </a:defRPr>
                          </a:lvl1pPr>
                          <a:lvl2pPr marL="1273565"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2pPr>
                          <a:lvl3pPr marL="1763397"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3pPr>
                          <a:lvl4pPr marL="2302214" indent="-538817"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4pPr>
                          <a:lvl5pPr marL="2694080" indent="-391866"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a:p>
                      </a:txBody>
                      <a:useSpRect/>
                    </a:txSp>
                  </a:sp>
                  <a:sp>
                    <a:nvSpPr>
                      <a:cNvPr id="51" name="Text Placeholder 50"/>
                      <a:cNvSpPr>
                        <a:spLocks noGrp="1"/>
                      </a:cNvSpPr>
                    </a:nvSpPr>
                    <a:spPr>
                      <a:xfrm>
                        <a:off x="-8709997" y="9892862"/>
                        <a:ext cx="8290965" cy="492443"/>
                      </a:xfrm>
                      <a:prstGeom prst="rect">
                        <a:avLst/>
                      </a:prstGeom>
                    </a:spPr>
                    <a:txSp>
                      <a:txBody>
                        <a:bodyPr wrap="square" lIns="91440" tIns="91440" rIns="91440" bIns="91440">
                          <a:spAutoFit/>
                        </a:bodyPr>
                        <a:lstStyle>
                          <a:lvl1pPr marL="0" indent="0" algn="l" defTabSz="3761915" rtl="0" eaLnBrk="1" latinLnBrk="0" hangingPunct="1">
                            <a:spcBef>
                              <a:spcPct val="20000"/>
                            </a:spcBef>
                            <a:buFont typeface="Arial" pitchFamily="34" charset="0"/>
                            <a:buNone/>
                            <a:defRPr sz="2000" kern="1200" baseline="0">
                              <a:solidFill>
                                <a:schemeClr val="tx1"/>
                              </a:solidFill>
                              <a:latin typeface="Trebuchet MS" pitchFamily="34" charset="0"/>
                              <a:ea typeface="+mn-ea"/>
                              <a:cs typeface="+mn-cs"/>
                            </a:defRPr>
                          </a:lvl1pPr>
                          <a:lvl2pPr marL="1273565"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2pPr>
                          <a:lvl3pPr marL="1763397"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3pPr>
                          <a:lvl4pPr marL="2302214" indent="-538817"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4pPr>
                          <a:lvl5pPr marL="2694080" indent="-391866"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a:p>
                      </a:txBody>
                      <a:useSpRect/>
                    </a:txSp>
                  </a:sp>
                  <a:sp>
                    <a:nvSpPr>
                      <a:cNvPr id="52" name="Text Placeholder 51"/>
                      <a:cNvSpPr>
                        <a:spLocks noGrp="1"/>
                      </a:cNvSpPr>
                    </a:nvSpPr>
                    <a:spPr>
                      <a:xfrm>
                        <a:off x="-8709997" y="9892862"/>
                        <a:ext cx="8290965" cy="492443"/>
                      </a:xfrm>
                      <a:prstGeom prst="rect">
                        <a:avLst/>
                      </a:prstGeom>
                    </a:spPr>
                    <a:txSp>
                      <a:txBody>
                        <a:bodyPr wrap="square" lIns="91440" tIns="91440" rIns="91440" bIns="91440">
                          <a:spAutoFit/>
                        </a:bodyPr>
                        <a:lstStyle>
                          <a:lvl1pPr marL="0" indent="0" algn="l" defTabSz="3761915" rtl="0" eaLnBrk="1" latinLnBrk="0" hangingPunct="1">
                            <a:spcBef>
                              <a:spcPct val="20000"/>
                            </a:spcBef>
                            <a:buFont typeface="Arial" pitchFamily="34" charset="0"/>
                            <a:buNone/>
                            <a:defRPr sz="2000" kern="1200" baseline="0">
                              <a:solidFill>
                                <a:schemeClr val="tx1"/>
                              </a:solidFill>
                              <a:latin typeface="Trebuchet MS" pitchFamily="34" charset="0"/>
                              <a:ea typeface="+mn-ea"/>
                              <a:cs typeface="+mn-cs"/>
                            </a:defRPr>
                          </a:lvl1pPr>
                          <a:lvl2pPr marL="1273565"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2pPr>
                          <a:lvl3pPr marL="1763397"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3pPr>
                          <a:lvl4pPr marL="2302214" indent="-538817"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4pPr>
                          <a:lvl5pPr marL="2694080" indent="-391866"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a:p>
                      </a:txBody>
                      <a:useSpRect/>
                    </a:txSp>
                  </a:sp>
                  <a:sp>
                    <a:nvSpPr>
                      <a:cNvPr id="53" name="Text Placeholder 52"/>
                      <a:cNvSpPr>
                        <a:spLocks noGrp="1"/>
                      </a:cNvSpPr>
                    </a:nvSpPr>
                    <a:spPr>
                      <a:xfrm>
                        <a:off x="-8709997" y="9892862"/>
                        <a:ext cx="8290965" cy="492443"/>
                      </a:xfrm>
                      <a:prstGeom prst="rect">
                        <a:avLst/>
                      </a:prstGeom>
                    </a:spPr>
                    <a:txSp>
                      <a:txBody>
                        <a:bodyPr wrap="square" lIns="91440" tIns="91440" rIns="91440" bIns="91440">
                          <a:spAutoFit/>
                        </a:bodyPr>
                        <a:lstStyle>
                          <a:lvl1pPr marL="0" indent="0" algn="l" defTabSz="3761915" rtl="0" eaLnBrk="1" latinLnBrk="0" hangingPunct="1">
                            <a:spcBef>
                              <a:spcPct val="20000"/>
                            </a:spcBef>
                            <a:buFont typeface="Arial" pitchFamily="34" charset="0"/>
                            <a:buNone/>
                            <a:defRPr sz="2000" kern="1200" baseline="0">
                              <a:solidFill>
                                <a:schemeClr val="tx1"/>
                              </a:solidFill>
                              <a:latin typeface="Trebuchet MS" pitchFamily="34" charset="0"/>
                              <a:ea typeface="+mn-ea"/>
                              <a:cs typeface="+mn-cs"/>
                            </a:defRPr>
                          </a:lvl1pPr>
                          <a:lvl2pPr marL="1273565"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2pPr>
                          <a:lvl3pPr marL="1763397"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3pPr>
                          <a:lvl4pPr marL="2302214" indent="-538817"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4pPr>
                          <a:lvl5pPr marL="2694080" indent="-391866"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a:p>
                      </a:txBody>
                      <a:useSpRect/>
                    </a:txSp>
                  </a:sp>
                  <a:sp>
                    <a:nvSpPr>
                      <a:cNvPr id="54" name="Text Placeholder 53"/>
                      <a:cNvSpPr>
                        <a:spLocks noGrp="1"/>
                      </a:cNvSpPr>
                    </a:nvSpPr>
                    <a:spPr>
                      <a:xfrm>
                        <a:off x="-8709997" y="9892862"/>
                        <a:ext cx="8290965" cy="492443"/>
                      </a:xfrm>
                      <a:prstGeom prst="rect">
                        <a:avLst/>
                      </a:prstGeom>
                    </a:spPr>
                    <a:txSp>
                      <a:txBody>
                        <a:bodyPr wrap="square" lIns="91440" tIns="91440" rIns="91440" bIns="91440">
                          <a:spAutoFit/>
                        </a:bodyPr>
                        <a:lstStyle>
                          <a:lvl1pPr marL="0" indent="0" algn="l" defTabSz="3761915" rtl="0" eaLnBrk="1" latinLnBrk="0" hangingPunct="1">
                            <a:spcBef>
                              <a:spcPct val="20000"/>
                            </a:spcBef>
                            <a:buFont typeface="Arial" pitchFamily="34" charset="0"/>
                            <a:buNone/>
                            <a:defRPr sz="2000" kern="1200" baseline="0">
                              <a:solidFill>
                                <a:schemeClr val="tx1"/>
                              </a:solidFill>
                              <a:latin typeface="Trebuchet MS" pitchFamily="34" charset="0"/>
                              <a:ea typeface="+mn-ea"/>
                              <a:cs typeface="+mn-cs"/>
                            </a:defRPr>
                          </a:lvl1pPr>
                          <a:lvl2pPr marL="1273565"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2pPr>
                          <a:lvl3pPr marL="1763397" indent="-489833"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3pPr>
                          <a:lvl4pPr marL="2302214" indent="-538817"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4pPr>
                          <a:lvl5pPr marL="2694080" indent="-391866" algn="l" defTabSz="3761915" rtl="0" eaLnBrk="1" latinLnBrk="0" hangingPunct="1">
                            <a:spcBef>
                              <a:spcPct val="20000"/>
                            </a:spcBef>
                            <a:buFont typeface="Arial" pitchFamily="34" charset="0"/>
                            <a:buChar char="»"/>
                            <a:defRPr sz="2100" kern="1200">
                              <a:solidFill>
                                <a:schemeClr val="tx1"/>
                              </a:solidFill>
                              <a:latin typeface="Trebuchet MS" pitchFamily="34" charset="0"/>
                              <a:ea typeface="+mn-ea"/>
                              <a:cs typeface="+mn-cs"/>
                            </a:defRPr>
                          </a:lvl5pPr>
                          <a:lvl6pPr marL="10345266"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6pPr>
                          <a:lvl7pPr marL="12226223"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7pPr>
                          <a:lvl8pPr marL="14107181"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8pPr>
                          <a:lvl9pPr marL="15988137" indent="-940479" algn="l" defTabSz="3761915" rtl="0" eaLnBrk="1" latinLnBrk="0" hangingPunct="1">
                            <a:spcBef>
                              <a:spcPct val="20000"/>
                            </a:spcBef>
                            <a:buFont typeface="Arial" pitchFamily="34" charset="0"/>
                            <a:buChar char="•"/>
                            <a:defRPr sz="8300" kern="1200">
                              <a:solidFill>
                                <a:schemeClr val="tx1"/>
                              </a:solidFill>
                              <a:latin typeface="+mn-lt"/>
                              <a:ea typeface="+mn-ea"/>
                              <a:cs typeface="+mn-cs"/>
                            </a:defRPr>
                          </a:lvl9pPr>
                        </a:lstStyle>
                        <a:p>
                          <a:endParaRPr lang="en-US" dirty="0"/>
                        </a:p>
                      </a:txBody>
                      <a:useSpRect/>
                    </a:txSp>
                  </a:sp>
                  <a:pic>
                    <a:nvPicPr>
                      <a:cNvPr id="61" name="Picture Placeholder 60" descr="New Picture (5).png"/>
                      <a:cNvPicPr>
                        <a:picLocks noGrp="1" noChangeAspect="1"/>
                      </a:cNvPicPr>
                    </a:nvPicPr>
                    <a:blipFill>
                      <a:blip r:embed="rId6" cstate="print"/>
                      <a:srcRect t="842" b="842"/>
                      <a:stretch>
                        <a:fillRect/>
                      </a:stretch>
                    </a:blipFill>
                    <a:spPr>
                      <a:xfrm>
                        <a:off x="39026359" y="16218487"/>
                        <a:ext cx="4393354" cy="3488409"/>
                      </a:xfrm>
                      <a:prstGeom prst="rect">
                        <a:avLst/>
                      </a:prstGeom>
                      <a:solidFill>
                        <a:schemeClr val="bg2"/>
                      </a:solidFill>
                      <a:ln>
                        <a:solidFill>
                          <a:schemeClr val="tx2"/>
                        </a:solidFill>
                      </a:ln>
                      <a:effectLst/>
                    </a:spPr>
                  </a:pic>
                  <a:pic>
                    <a:nvPicPr>
                      <a:cNvPr id="1026" name="Picture 2"/>
                      <a:cNvPicPr>
                        <a:picLocks noChangeAspect="1" noChangeArrowheads="1"/>
                      </a:cNvPicPr>
                    </a:nvPicPr>
                    <a:blipFill>
                      <a:blip r:embed="rId7" cstate="print"/>
                      <a:srcRect/>
                      <a:stretch>
                        <a:fillRect/>
                      </a:stretch>
                    </a:blipFill>
                    <a:spPr bwMode="auto">
                      <a:xfrm>
                        <a:off x="35147251" y="858387"/>
                        <a:ext cx="8272461" cy="5700067"/>
                      </a:xfrm>
                      <a:prstGeom prst="rect">
                        <a:avLst/>
                      </a:prstGeom>
                      <a:noFill/>
                      <a:ln w="9525">
                        <a:noFill/>
                        <a:miter lim="800000"/>
                        <a:headEnd/>
                        <a:tailEnd/>
                      </a:ln>
                      <a:effectLst/>
                    </a:spPr>
                  </a:pic>
                  <a:pic>
                    <a:nvPicPr>
                      <a:cNvPr id="1027" name="Picture 3"/>
                      <a:cNvPicPr>
                        <a:picLocks noChangeAspect="1" noChangeArrowheads="1"/>
                      </a:cNvPicPr>
                    </a:nvPicPr>
                    <a:blipFill>
                      <a:blip r:embed="rId8" cstate="print"/>
                      <a:srcRect/>
                      <a:stretch>
                        <a:fillRect/>
                      </a:stretch>
                    </a:blipFill>
                    <a:spPr bwMode="auto">
                      <a:xfrm>
                        <a:off x="968188" y="-3499944"/>
                        <a:ext cx="4861560" cy="2936326"/>
                      </a:xfrm>
                      <a:prstGeom prst="rect">
                        <a:avLst/>
                      </a:prstGeom>
                      <a:noFill/>
                      <a:ln w="9525">
                        <a:noFill/>
                        <a:miter lim="800000"/>
                        <a:headEnd/>
                        <a:tailEnd/>
                      </a:ln>
                      <a:effectLst/>
                    </a:spPr>
                  </a:pic>
                  <a:pic>
                    <a:nvPicPr>
                      <a:cNvPr id="60" name="Picture Placeholder 59" descr="New Picture (4).png"/>
                      <a:cNvPicPr>
                        <a:picLocks noGrp="1" noChangeAspect="1"/>
                      </a:cNvPicPr>
                    </a:nvPicPr>
                    <a:blipFill>
                      <a:blip r:embed="rId9" cstate="print"/>
                      <a:srcRect l="5597" r="5597"/>
                      <a:stretch>
                        <a:fillRect/>
                      </a:stretch>
                    </a:blipFill>
                    <a:spPr>
                      <a:xfrm>
                        <a:off x="7100042" y="-3499944"/>
                        <a:ext cx="4103794" cy="2936325"/>
                      </a:xfrm>
                      <a:prstGeom prst="rect">
                        <a:avLst/>
                      </a:prstGeom>
                      <a:solidFill>
                        <a:schemeClr val="bg2"/>
                      </a:solidFill>
                      <a:ln>
                        <a:solidFill>
                          <a:schemeClr val="tx2"/>
                        </a:solidFill>
                      </a:ln>
                      <a:effectLst/>
                    </a:spPr>
                  </a:pic>
                  <a:pic>
                    <a:nvPicPr>
                      <a:cNvPr id="8" name="Picture 2"/>
                      <a:cNvPicPr>
                        <a:picLocks noChangeAspect="1" noChangeArrowheads="1"/>
                      </a:cNvPicPr>
                    </a:nvPicPr>
                    <a:blipFill>
                      <a:blip r:embed="rId10" cstate="print"/>
                      <a:srcRect/>
                      <a:stretch>
                        <a:fillRect/>
                      </a:stretch>
                    </a:blipFill>
                    <a:spPr bwMode="auto">
                      <a:xfrm>
                        <a:off x="32304990" y="-3499944"/>
                        <a:ext cx="3219450" cy="2936325"/>
                      </a:xfrm>
                      <a:prstGeom prst="rect">
                        <a:avLst/>
                      </a:prstGeom>
                      <a:noFill/>
                      <a:ln w="9525">
                        <a:noFill/>
                        <a:miter lim="800000"/>
                        <a:headEnd/>
                        <a:tailEnd/>
                      </a:ln>
                    </a:spPr>
                  </a:pic>
                  <a:sp>
                    <a:nvSpPr>
                      <a:cNvPr id="2049" name="Rectangle 1"/>
                      <a:cNvSpPr>
                        <a:spLocks noChangeArrowheads="1"/>
                      </a:cNvSpPr>
                    </a:nvSpPr>
                    <a:spPr bwMode="auto">
                      <a:xfrm>
                        <a:off x="0" y="43934"/>
                        <a:ext cx="184731" cy="369332"/>
                      </a:xfrm>
                      <a:prstGeom prst="rect">
                        <a:avLst/>
                      </a:prstGeom>
                      <a:noFill/>
                      <a:ln w="9525">
                        <a:noFill/>
                        <a:miter lim="800000"/>
                        <a:headEnd/>
                        <a:tailEnd/>
                      </a:ln>
                      <a:effectLst/>
                    </a:spPr>
                    <a:txSp>
                      <a:txBody>
                        <a:bodyPr vert="horz" wrap="none" lIns="91440" tIns="45720" rIns="91440" bIns="45720" numCol="1" anchor="ctr" anchorCtr="0" compatLnSpc="1">
                          <a:prstTxWarp prst="textNoShape">
                            <a:avLst/>
                          </a:prstTxWarp>
                          <a:spAutoFit/>
                        </a:bodyPr>
                        <a:lstStyle>
                          <a:defPPr>
                            <a:defRPr lang="en-US"/>
                          </a:defPPr>
                          <a:lvl1pPr marL="0" algn="l" defTabSz="3761915" rtl="0" eaLnBrk="1" latinLnBrk="0" hangingPunct="1">
                            <a:defRPr sz="7400" kern="1200">
                              <a:solidFill>
                                <a:schemeClr val="tx1"/>
                              </a:solidFill>
                              <a:latin typeface="+mn-lt"/>
                              <a:ea typeface="+mn-ea"/>
                              <a:cs typeface="+mn-cs"/>
                            </a:defRPr>
                          </a:lvl1pPr>
                          <a:lvl2pPr marL="1880958" algn="l" defTabSz="3761915" rtl="0" eaLnBrk="1" latinLnBrk="0" hangingPunct="1">
                            <a:defRPr sz="7400" kern="1200">
                              <a:solidFill>
                                <a:schemeClr val="tx1"/>
                              </a:solidFill>
                              <a:latin typeface="+mn-lt"/>
                              <a:ea typeface="+mn-ea"/>
                              <a:cs typeface="+mn-cs"/>
                            </a:defRPr>
                          </a:lvl2pPr>
                          <a:lvl3pPr marL="3761915" algn="l" defTabSz="3761915" rtl="0" eaLnBrk="1" latinLnBrk="0" hangingPunct="1">
                            <a:defRPr sz="7400" kern="1200">
                              <a:solidFill>
                                <a:schemeClr val="tx1"/>
                              </a:solidFill>
                              <a:latin typeface="+mn-lt"/>
                              <a:ea typeface="+mn-ea"/>
                              <a:cs typeface="+mn-cs"/>
                            </a:defRPr>
                          </a:lvl3pPr>
                          <a:lvl4pPr marL="5642873" algn="l" defTabSz="3761915" rtl="0" eaLnBrk="1" latinLnBrk="0" hangingPunct="1">
                            <a:defRPr sz="7400" kern="1200">
                              <a:solidFill>
                                <a:schemeClr val="tx1"/>
                              </a:solidFill>
                              <a:latin typeface="+mn-lt"/>
                              <a:ea typeface="+mn-ea"/>
                              <a:cs typeface="+mn-cs"/>
                            </a:defRPr>
                          </a:lvl4pPr>
                          <a:lvl5pPr marL="7523829" algn="l" defTabSz="3761915" rtl="0" eaLnBrk="1" latinLnBrk="0" hangingPunct="1">
                            <a:defRPr sz="7400" kern="1200">
                              <a:solidFill>
                                <a:schemeClr val="tx1"/>
                              </a:solidFill>
                              <a:latin typeface="+mn-lt"/>
                              <a:ea typeface="+mn-ea"/>
                              <a:cs typeface="+mn-cs"/>
                            </a:defRPr>
                          </a:lvl5pPr>
                          <a:lvl6pPr marL="9404787" algn="l" defTabSz="3761915" rtl="0" eaLnBrk="1" latinLnBrk="0" hangingPunct="1">
                            <a:defRPr sz="7400" kern="1200">
                              <a:solidFill>
                                <a:schemeClr val="tx1"/>
                              </a:solidFill>
                              <a:latin typeface="+mn-lt"/>
                              <a:ea typeface="+mn-ea"/>
                              <a:cs typeface="+mn-cs"/>
                            </a:defRPr>
                          </a:lvl6pPr>
                          <a:lvl7pPr marL="11285745" algn="l" defTabSz="3761915" rtl="0" eaLnBrk="1" latinLnBrk="0" hangingPunct="1">
                            <a:defRPr sz="7400" kern="1200">
                              <a:solidFill>
                                <a:schemeClr val="tx1"/>
                              </a:solidFill>
                              <a:latin typeface="+mn-lt"/>
                              <a:ea typeface="+mn-ea"/>
                              <a:cs typeface="+mn-cs"/>
                            </a:defRPr>
                          </a:lvl7pPr>
                          <a:lvl8pPr marL="13166702" algn="l" defTabSz="3761915" rtl="0" eaLnBrk="1" latinLnBrk="0" hangingPunct="1">
                            <a:defRPr sz="7400" kern="1200">
                              <a:solidFill>
                                <a:schemeClr val="tx1"/>
                              </a:solidFill>
                              <a:latin typeface="+mn-lt"/>
                              <a:ea typeface="+mn-ea"/>
                              <a:cs typeface="+mn-cs"/>
                            </a:defRPr>
                          </a:lvl8pPr>
                          <a:lvl9pPr marL="15047660" algn="l" defTabSz="3761915" rtl="0" eaLnBrk="1" latinLnBrk="0" hangingPunct="1">
                            <a:defRPr sz="74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050" name="Rectangle 2"/>
                      <a:cNvSpPr>
                        <a:spLocks noChangeArrowheads="1"/>
                      </a:cNvSpPr>
                    </a:nvSpPr>
                    <a:spPr bwMode="auto">
                      <a:xfrm>
                        <a:off x="0" y="90100"/>
                        <a:ext cx="223138" cy="276999"/>
                      </a:xfrm>
                      <a:prstGeom prst="rect">
                        <a:avLst/>
                      </a:prstGeom>
                      <a:noFill/>
                      <a:ln w="9525">
                        <a:noFill/>
                        <a:miter lim="800000"/>
                        <a:headEnd/>
                        <a:tailEnd/>
                      </a:ln>
                      <a:effectLst/>
                    </a:spPr>
                    <a:txSp>
                      <a:txBody>
                        <a:bodyPr vert="horz" wrap="none" lIns="91440" tIns="45720" rIns="91440" bIns="45720" numCol="1" anchor="ctr" anchorCtr="0" compatLnSpc="1">
                          <a:prstTxWarp prst="textNoShape">
                            <a:avLst/>
                          </a:prstTxWarp>
                          <a:spAutoFit/>
                        </a:bodyPr>
                        <a:lstStyle>
                          <a:defPPr>
                            <a:defRPr lang="en-US"/>
                          </a:defPPr>
                          <a:lvl1pPr marL="0" algn="l" defTabSz="3761915" rtl="0" eaLnBrk="1" latinLnBrk="0" hangingPunct="1">
                            <a:defRPr sz="7400" kern="1200">
                              <a:solidFill>
                                <a:schemeClr val="tx1"/>
                              </a:solidFill>
                              <a:latin typeface="+mn-lt"/>
                              <a:ea typeface="+mn-ea"/>
                              <a:cs typeface="+mn-cs"/>
                            </a:defRPr>
                          </a:lvl1pPr>
                          <a:lvl2pPr marL="1880958" algn="l" defTabSz="3761915" rtl="0" eaLnBrk="1" latinLnBrk="0" hangingPunct="1">
                            <a:defRPr sz="7400" kern="1200">
                              <a:solidFill>
                                <a:schemeClr val="tx1"/>
                              </a:solidFill>
                              <a:latin typeface="+mn-lt"/>
                              <a:ea typeface="+mn-ea"/>
                              <a:cs typeface="+mn-cs"/>
                            </a:defRPr>
                          </a:lvl2pPr>
                          <a:lvl3pPr marL="3761915" algn="l" defTabSz="3761915" rtl="0" eaLnBrk="1" latinLnBrk="0" hangingPunct="1">
                            <a:defRPr sz="7400" kern="1200">
                              <a:solidFill>
                                <a:schemeClr val="tx1"/>
                              </a:solidFill>
                              <a:latin typeface="+mn-lt"/>
                              <a:ea typeface="+mn-ea"/>
                              <a:cs typeface="+mn-cs"/>
                            </a:defRPr>
                          </a:lvl3pPr>
                          <a:lvl4pPr marL="5642873" algn="l" defTabSz="3761915" rtl="0" eaLnBrk="1" latinLnBrk="0" hangingPunct="1">
                            <a:defRPr sz="7400" kern="1200">
                              <a:solidFill>
                                <a:schemeClr val="tx1"/>
                              </a:solidFill>
                              <a:latin typeface="+mn-lt"/>
                              <a:ea typeface="+mn-ea"/>
                              <a:cs typeface="+mn-cs"/>
                            </a:defRPr>
                          </a:lvl4pPr>
                          <a:lvl5pPr marL="7523829" algn="l" defTabSz="3761915" rtl="0" eaLnBrk="1" latinLnBrk="0" hangingPunct="1">
                            <a:defRPr sz="7400" kern="1200">
                              <a:solidFill>
                                <a:schemeClr val="tx1"/>
                              </a:solidFill>
                              <a:latin typeface="+mn-lt"/>
                              <a:ea typeface="+mn-ea"/>
                              <a:cs typeface="+mn-cs"/>
                            </a:defRPr>
                          </a:lvl5pPr>
                          <a:lvl6pPr marL="9404787" algn="l" defTabSz="3761915" rtl="0" eaLnBrk="1" latinLnBrk="0" hangingPunct="1">
                            <a:defRPr sz="7400" kern="1200">
                              <a:solidFill>
                                <a:schemeClr val="tx1"/>
                              </a:solidFill>
                              <a:latin typeface="+mn-lt"/>
                              <a:ea typeface="+mn-ea"/>
                              <a:cs typeface="+mn-cs"/>
                            </a:defRPr>
                          </a:lvl6pPr>
                          <a:lvl7pPr marL="11285745" algn="l" defTabSz="3761915" rtl="0" eaLnBrk="1" latinLnBrk="0" hangingPunct="1">
                            <a:defRPr sz="7400" kern="1200">
                              <a:solidFill>
                                <a:schemeClr val="tx1"/>
                              </a:solidFill>
                              <a:latin typeface="+mn-lt"/>
                              <a:ea typeface="+mn-ea"/>
                              <a:cs typeface="+mn-cs"/>
                            </a:defRPr>
                          </a:lvl7pPr>
                          <a:lvl8pPr marL="13166702" algn="l" defTabSz="3761915" rtl="0" eaLnBrk="1" latinLnBrk="0" hangingPunct="1">
                            <a:defRPr sz="7400" kern="1200">
                              <a:solidFill>
                                <a:schemeClr val="tx1"/>
                              </a:solidFill>
                              <a:latin typeface="+mn-lt"/>
                              <a:ea typeface="+mn-ea"/>
                              <a:cs typeface="+mn-cs"/>
                            </a:defRPr>
                          </a:lvl8pPr>
                          <a:lvl9pPr marL="15047660" algn="l" defTabSz="3761915" rtl="0" eaLnBrk="1" latinLnBrk="0" hangingPunct="1">
                            <a:defRPr sz="74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200" b="0" i="0" u="none" strike="noStrike" cap="none" normalizeH="0" baseline="0" dirty="0" smtClean="0">
                              <a:ln>
                                <a:noFill/>
                              </a:ln>
                              <a:solidFill>
                                <a:schemeClr val="tx1"/>
                              </a:solidFill>
                              <a:effectLst/>
                              <a:latin typeface="Calibri" pitchFamily="34" charset="0"/>
                              <a:ea typeface="SimSun" pitchFamily="2" charset="-122"/>
                              <a:cs typeface="Calibri" pitchFamily="34" charset="0"/>
                            </a:rPr>
                            <a:t>.</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pic>
                    <a:nvPicPr>
                      <a:cNvPr id="29" name="Picture 2" descr="C:\Users\James\Pictures\carecoord-main-flowdiagram-c1.gif"/>
                      <a:cNvPicPr>
                        <a:picLocks noChangeAspect="1" noChangeArrowheads="1"/>
                      </a:cNvPicPr>
                    </a:nvPicPr>
                    <a:blipFill>
                      <a:blip r:embed="rId11" cstate="print"/>
                      <a:srcRect/>
                      <a:stretch>
                        <a:fillRect/>
                      </a:stretch>
                    </a:blipFill>
                    <a:spPr bwMode="auto">
                      <a:xfrm>
                        <a:off x="9151939" y="9833153"/>
                        <a:ext cx="8253192" cy="3648075"/>
                      </a:xfrm>
                      <a:prstGeom prst="rect">
                        <a:avLst/>
                      </a:prstGeom>
                      <a:noFill/>
                    </a:spPr>
                  </a:pic>
                  <a:pic>
                    <a:nvPicPr>
                      <a:cNvPr id="1033" name="Picture 9"/>
                      <a:cNvPicPr>
                        <a:picLocks noChangeAspect="1" noChangeArrowheads="1"/>
                      </a:cNvPicPr>
                    </a:nvPicPr>
                    <a:blipFill>
                      <a:blip r:embed="rId12" cstate="print"/>
                      <a:srcRect/>
                      <a:stretch>
                        <a:fillRect/>
                      </a:stretch>
                    </a:blipFill>
                    <a:spPr bwMode="auto">
                      <a:xfrm>
                        <a:off x="34737345" y="16218487"/>
                        <a:ext cx="4289014" cy="3488409"/>
                      </a:xfrm>
                      <a:prstGeom prst="rect">
                        <a:avLst/>
                      </a:prstGeom>
                      <a:noFill/>
                      <a:ln w="9525">
                        <a:noFill/>
                        <a:miter lim="800000"/>
                        <a:headEnd/>
                        <a:tailEnd/>
                      </a:ln>
                      <a:effectLst/>
                    </a:spPr>
                  </a:pic>
                  <a:pic>
                    <a:nvPicPr>
                      <a:cNvPr id="30" name="Picture 2"/>
                      <a:cNvPicPr>
                        <a:picLocks noChangeAspect="1" noChangeArrowheads="1"/>
                      </a:cNvPicPr>
                    </a:nvPicPr>
                    <a:blipFill>
                      <a:blip r:embed="rId13" cstate="print"/>
                      <a:srcRect/>
                      <a:stretch>
                        <a:fillRect/>
                      </a:stretch>
                    </a:blipFill>
                    <a:spPr bwMode="auto">
                      <a:xfrm>
                        <a:off x="9151939" y="13543899"/>
                        <a:ext cx="8253191" cy="6162997"/>
                      </a:xfrm>
                      <a:prstGeom prst="rect">
                        <a:avLst/>
                      </a:prstGeom>
                      <a:noFill/>
                      <a:ln w="9525">
                        <a:noFill/>
                        <a:miter lim="800000"/>
                        <a:headEnd/>
                        <a:tailEnd/>
                      </a:ln>
                      <a:effectLst/>
                    </a:spPr>
                  </a:pic>
                  <a:pic>
                    <a:nvPicPr>
                      <a:cNvPr id="58" name="Picture 3"/>
                      <a:cNvPicPr>
                        <a:picLocks noChangeAspect="1" noChangeArrowheads="1"/>
                      </a:cNvPicPr>
                    </a:nvPicPr>
                    <a:blipFill>
                      <a:blip r:embed="rId14" cstate="print"/>
                      <a:srcRect/>
                      <a:stretch>
                        <a:fillRect/>
                      </a:stretch>
                    </a:blipFill>
                    <a:spPr bwMode="auto">
                      <a:xfrm>
                        <a:off x="1" y="9527141"/>
                        <a:ext cx="8765628" cy="10179756"/>
                      </a:xfrm>
                      <a:prstGeom prst="rect">
                        <a:avLst/>
                      </a:prstGeom>
                      <a:noFill/>
                      <a:ln w="9525">
                        <a:noFill/>
                        <a:miter lim="800000"/>
                        <a:headEnd/>
                        <a:tailEnd/>
                      </a:ln>
                      <a:effectLst/>
                    </a:spPr>
                  </a:pic>
                </lc:lockedCanvas>
              </a:graphicData>
            </a:graphic>
          </wp:inline>
        </w:drawing>
      </w:r>
    </w:p>
    <w:sectPr w:rsidR="00CB1C56" w:rsidSect="00E84ED8">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proofState w:spelling="clean" w:grammar="clean"/>
  <w:defaultTabStop w:val="720"/>
  <w:drawingGridHorizontalSpacing w:val="120"/>
  <w:displayHorizontalDrawingGridEvery w:val="2"/>
  <w:characterSpacingControl w:val="doNotCompress"/>
  <w:compat>
    <w:useFELayout/>
  </w:compat>
  <w:rsids>
    <w:rsidRoot w:val="00296BC3"/>
    <w:rsid w:val="00296BC3"/>
    <w:rsid w:val="005256B8"/>
    <w:rsid w:val="00A654B5"/>
    <w:rsid w:val="00B7287A"/>
    <w:rsid w:val="00CB1C56"/>
    <w:rsid w:val="00E427F2"/>
    <w:rsid w:val="00E84ED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sz w:val="24"/>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C56"/>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6BC3"/>
    <w:rPr>
      <w:rFonts w:ascii="Tahoma" w:hAnsi="Tahoma" w:cs="Tahoma"/>
      <w:sz w:val="16"/>
      <w:szCs w:val="16"/>
    </w:rPr>
  </w:style>
  <w:style w:type="character" w:customStyle="1" w:styleId="BalloonTextChar">
    <w:name w:val="Balloon Text Char"/>
    <w:basedOn w:val="DefaultParagraphFont"/>
    <w:link w:val="BalloonText"/>
    <w:uiPriority w:val="99"/>
    <w:semiHidden/>
    <w:rsid w:val="00296B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gif"/><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dc:creator>
  <cp:lastModifiedBy>Patrick</cp:lastModifiedBy>
  <cp:revision>1</cp:revision>
  <cp:lastPrinted>2012-08-25T19:33:00Z</cp:lastPrinted>
  <dcterms:created xsi:type="dcterms:W3CDTF">2012-08-25T19:18:00Z</dcterms:created>
  <dcterms:modified xsi:type="dcterms:W3CDTF">2012-08-25T19:34:00Z</dcterms:modified>
</cp:coreProperties>
</file>